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C" w:rsidRDefault="000456A3" w:rsidP="005B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B49CB">
        <w:rPr>
          <w:rFonts w:ascii="Times New Roman" w:hAnsi="Times New Roman" w:cs="Times New Roman"/>
          <w:b/>
          <w:sz w:val="28"/>
          <w:szCs w:val="28"/>
          <w:lang w:val="bg-BG"/>
        </w:rPr>
        <w:t>24 МАРТ – СВЕТОВЕН ДЕН ЗА БОРБА С ТУБЕРКУЛОЗАТА</w:t>
      </w:r>
    </w:p>
    <w:p w:rsidR="005B49CB" w:rsidRPr="005B49CB" w:rsidRDefault="005B49CB" w:rsidP="005B4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6A3" w:rsidRDefault="000456A3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Световният ден за борба с туберкулозата се отбелязва според решението на Световната здравна организация в деня, когато през 1882 година немският микробиолог Роберт Кох е обявил направеното от него откритие на причинителите на туберкулозата.</w:t>
      </w:r>
    </w:p>
    <w:p w:rsidR="000456A3" w:rsidRDefault="000456A3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Настоящата година е втората на двугодишната кампания за Световен ден с мотото „Да спрем туберкулозата докато дишаме“.</w:t>
      </w:r>
    </w:p>
    <w:p w:rsidR="000456A3" w:rsidRDefault="000456A3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Данни за разпространението на заболяването в област Плевен.</w:t>
      </w:r>
    </w:p>
    <w:p w:rsidR="00F86C65" w:rsidRDefault="000456A3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2012 година в област Плевен са регистрирани 63 заболявания от туберкулоза, които формират заболяемост от 23.61 на 100000 души население</w:t>
      </w:r>
      <w:r w:rsidR="00F86C65">
        <w:rPr>
          <w:rFonts w:ascii="Times New Roman" w:hAnsi="Times New Roman" w:cs="Times New Roman"/>
          <w:sz w:val="28"/>
          <w:szCs w:val="28"/>
          <w:lang w:val="bg-BG"/>
        </w:rPr>
        <w:t>. Относителният дял на туберкулозата спрямо всички дихателни инфекции е 6.69%. От заболяването са засегнати всички общини в областта с изключение на община Белене. Най-висока заболяемост е регистрирана в община Пордим – 62.96%ооо /4 случая/, следвана от община Левски – 35.55%ооо /7 случая/ и община Долни Дъбник – 34.39%ооо /4 случая/.</w:t>
      </w:r>
    </w:p>
    <w:p w:rsidR="00F86C65" w:rsidRDefault="00F86C65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Разпределение на заболяванията от туберкулоза по възраст:</w:t>
      </w:r>
    </w:p>
    <w:p w:rsidR="00350CF7" w:rsidRDefault="00F86C65" w:rsidP="004900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35-39 години – 67.90%ооо /12 заболявания/</w:t>
      </w:r>
      <w:r w:rsidR="00350CF7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50CF7" w:rsidRDefault="00350CF7" w:rsidP="004900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30-34 години – 31.91%ооо /5 заболявяния/.</w:t>
      </w:r>
    </w:p>
    <w:p w:rsidR="00350CF7" w:rsidRDefault="00350CF7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Разпределение </w:t>
      </w:r>
      <w:r w:rsidR="004900A3">
        <w:rPr>
          <w:rFonts w:ascii="Times New Roman" w:hAnsi="Times New Roman" w:cs="Times New Roman"/>
          <w:sz w:val="28"/>
          <w:szCs w:val="28"/>
          <w:lang w:val="bg-BG"/>
        </w:rPr>
        <w:t xml:space="preserve">на заболяванията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по пол: жени – 41.3% /26 случая/, мъже  - 58.7% /37 случая/.</w:t>
      </w:r>
    </w:p>
    <w:p w:rsidR="000456A3" w:rsidRPr="000456A3" w:rsidRDefault="00350CF7" w:rsidP="005B49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2012 година са профилактирани с Изонид 455 лица.</w:t>
      </w:r>
    </w:p>
    <w:sectPr w:rsidR="000456A3" w:rsidRPr="00045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E"/>
    <w:rsid w:val="000456A3"/>
    <w:rsid w:val="00350CF7"/>
    <w:rsid w:val="004900A3"/>
    <w:rsid w:val="005B49CB"/>
    <w:rsid w:val="006C167C"/>
    <w:rsid w:val="009F364E"/>
    <w:rsid w:val="00A75BC3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2013-03-21T08:47:00Z</dcterms:created>
  <dcterms:modified xsi:type="dcterms:W3CDTF">2013-03-21T09:30:00Z</dcterms:modified>
</cp:coreProperties>
</file>