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3B8" w:rsidRPr="005B1BA2" w:rsidRDefault="003533B8" w:rsidP="002C6143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5B1BA2">
        <w:rPr>
          <w:rFonts w:ascii="Times New Roman" w:hAnsi="Times New Roman"/>
          <w:b/>
          <w:sz w:val="28"/>
          <w:szCs w:val="28"/>
          <w:lang w:val="bg-BG"/>
        </w:rPr>
        <w:t>Класификация на риска от малария и вид на превантивните мерки (по СЗО 2015)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1188"/>
        <w:gridCol w:w="3699"/>
        <w:gridCol w:w="9638"/>
      </w:tblGrid>
      <w:tr w:rsidR="003533B8" w:rsidRPr="00FE7265" w:rsidTr="00FE7265">
        <w:tc>
          <w:tcPr>
            <w:tcW w:w="11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533B8" w:rsidRPr="00FE7265" w:rsidRDefault="003533B8" w:rsidP="00FE7265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6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533B8" w:rsidRPr="00FE7265" w:rsidRDefault="003533B8" w:rsidP="00FE7265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FE72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Риск от малария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533B8" w:rsidRPr="00FE7265" w:rsidRDefault="003533B8" w:rsidP="00FE7265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FE72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Вид на преантивните мерки</w:t>
            </w:r>
          </w:p>
        </w:tc>
      </w:tr>
      <w:tr w:rsidR="003533B8" w:rsidRPr="0050176B" w:rsidTr="00FE7265">
        <w:tc>
          <w:tcPr>
            <w:tcW w:w="1188" w:type="dxa"/>
            <w:tcBorders>
              <w:left w:val="nil"/>
              <w:right w:val="nil"/>
            </w:tcBorders>
            <w:shd w:val="clear" w:color="auto" w:fill="C0C0C0"/>
          </w:tcPr>
          <w:p w:rsidR="003533B8" w:rsidRPr="00FE7265" w:rsidRDefault="003533B8" w:rsidP="00FE7265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FE7265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/>
              </w:rPr>
              <w:t>Тип А</w:t>
            </w:r>
          </w:p>
        </w:tc>
        <w:tc>
          <w:tcPr>
            <w:tcW w:w="3699" w:type="dxa"/>
            <w:tcBorders>
              <w:left w:val="nil"/>
              <w:right w:val="nil"/>
            </w:tcBorders>
            <w:shd w:val="clear" w:color="auto" w:fill="C0C0C0"/>
          </w:tcPr>
          <w:p w:rsidR="003533B8" w:rsidRPr="00FE7265" w:rsidRDefault="003533B8" w:rsidP="00FE7265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FE7265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Много нисък риск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3533B8" w:rsidRPr="00FE7265" w:rsidRDefault="003533B8" w:rsidP="00FE7265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FE7265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Предпазни мерки за ухапвания от комари</w:t>
            </w:r>
          </w:p>
        </w:tc>
      </w:tr>
      <w:tr w:rsidR="003533B8" w:rsidRPr="0050176B" w:rsidTr="00FE7265">
        <w:tc>
          <w:tcPr>
            <w:tcW w:w="1188" w:type="dxa"/>
          </w:tcPr>
          <w:p w:rsidR="003533B8" w:rsidRPr="00FE7265" w:rsidRDefault="003533B8" w:rsidP="00FE7265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FE7265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/>
              </w:rPr>
              <w:t>Тип В</w:t>
            </w:r>
          </w:p>
        </w:tc>
        <w:tc>
          <w:tcPr>
            <w:tcW w:w="3699" w:type="dxa"/>
          </w:tcPr>
          <w:p w:rsidR="003533B8" w:rsidRPr="00FE7265" w:rsidRDefault="003533B8" w:rsidP="00FE7265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FE7265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Риск само за </w:t>
            </w:r>
            <w:r w:rsidRPr="00FE726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P</w:t>
            </w:r>
            <w:r w:rsidRPr="004B341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FE726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vivax</w:t>
            </w:r>
            <w:r w:rsidRPr="00FE726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bg-BG"/>
              </w:rPr>
              <w:t xml:space="preserve"> </w:t>
            </w:r>
            <w:r w:rsidRPr="00FE7265">
              <w:rPr>
                <w:rFonts w:ascii="Times New Roman" w:hAnsi="Times New Roman"/>
                <w:iCs/>
                <w:color w:val="000000"/>
                <w:sz w:val="24"/>
                <w:szCs w:val="24"/>
                <w:lang w:val="bg-BG"/>
              </w:rPr>
              <w:t>малария</w:t>
            </w:r>
          </w:p>
        </w:tc>
        <w:tc>
          <w:tcPr>
            <w:tcW w:w="0" w:type="auto"/>
          </w:tcPr>
          <w:p w:rsidR="003533B8" w:rsidRPr="00FE7265" w:rsidRDefault="003533B8" w:rsidP="00FE7265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FE7265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Предпазване от ухапвания от комари плюс химиопрофилактика с </w:t>
            </w:r>
            <w:r w:rsidRPr="00FE72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chloroquine</w:t>
            </w:r>
            <w:r w:rsidRPr="004B341D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, </w:t>
            </w:r>
            <w:r w:rsidRPr="00FE7265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или </w:t>
            </w:r>
            <w:r w:rsidRPr="00FE72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doxycycline</w:t>
            </w:r>
            <w:r w:rsidRPr="004B341D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FE7265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или</w:t>
            </w:r>
            <w:r w:rsidRPr="004B341D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FE72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atovaquone</w:t>
            </w:r>
            <w:r w:rsidRPr="004B341D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−</w:t>
            </w:r>
            <w:r w:rsidRPr="00FE72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proguanil</w:t>
            </w:r>
            <w:r w:rsidRPr="004B341D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FE7265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или</w:t>
            </w:r>
            <w:r w:rsidRPr="004B341D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FE72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mefloquine</w:t>
            </w:r>
            <w:r w:rsidRPr="00FE7265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 (изборът е съгласно данните за чувствителността на паразита, докладваните странични ефекти и контраиндикации)</w:t>
            </w:r>
            <w:r w:rsidRPr="00FE726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>a</w:t>
            </w:r>
            <w:r w:rsidRPr="00FE7265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 </w:t>
            </w:r>
          </w:p>
          <w:p w:rsidR="003533B8" w:rsidRPr="00FE7265" w:rsidRDefault="003533B8" w:rsidP="00FE7265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3533B8" w:rsidRPr="0050176B" w:rsidTr="00FE7265">
        <w:tc>
          <w:tcPr>
            <w:tcW w:w="1188" w:type="dxa"/>
            <w:tcBorders>
              <w:left w:val="nil"/>
              <w:right w:val="nil"/>
            </w:tcBorders>
            <w:shd w:val="clear" w:color="auto" w:fill="C0C0C0"/>
          </w:tcPr>
          <w:p w:rsidR="003533B8" w:rsidRPr="00FE7265" w:rsidRDefault="003533B8" w:rsidP="00FE7265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FE7265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/>
              </w:rPr>
              <w:t>Тип С</w:t>
            </w:r>
          </w:p>
        </w:tc>
        <w:tc>
          <w:tcPr>
            <w:tcW w:w="3699" w:type="dxa"/>
            <w:tcBorders>
              <w:left w:val="nil"/>
              <w:right w:val="nil"/>
            </w:tcBorders>
            <w:shd w:val="clear" w:color="auto" w:fill="C0C0C0"/>
          </w:tcPr>
          <w:p w:rsidR="003533B8" w:rsidRPr="00FE7265" w:rsidRDefault="003533B8" w:rsidP="00FE7265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FE7265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Риск за </w:t>
            </w:r>
            <w:r w:rsidRPr="00FE726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P</w:t>
            </w:r>
            <w:r w:rsidRPr="004B341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bg-BG"/>
              </w:rPr>
              <w:t xml:space="preserve">. </w:t>
            </w:r>
            <w:r w:rsidRPr="00FE726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falciparum</w:t>
            </w:r>
            <w:r w:rsidRPr="00FE726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bg-BG"/>
              </w:rPr>
              <w:t xml:space="preserve"> </w:t>
            </w:r>
            <w:r w:rsidRPr="00FE7265">
              <w:rPr>
                <w:rFonts w:ascii="Times New Roman" w:hAnsi="Times New Roman"/>
                <w:iCs/>
                <w:color w:val="000000"/>
                <w:sz w:val="24"/>
                <w:szCs w:val="24"/>
                <w:lang w:val="bg-BG"/>
              </w:rPr>
              <w:t>малария и известна резистентност към chloroquine и sulfadoxine–pyrimethamine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3533B8" w:rsidRPr="004B341D" w:rsidRDefault="003533B8" w:rsidP="00FE7265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E7265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Предпазване от ухапвания от комари плюс химиопрофилактика с </w:t>
            </w:r>
            <w:r w:rsidRPr="00FE72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atovaquone</w:t>
            </w:r>
            <w:r w:rsidRPr="004B34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</w:t>
            </w:r>
          </w:p>
          <w:p w:rsidR="003533B8" w:rsidRPr="004B341D" w:rsidRDefault="003533B8" w:rsidP="00FE7265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/>
              </w:rPr>
            </w:pPr>
            <w:r w:rsidRPr="00FE72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proguanil</w:t>
            </w:r>
            <w:r w:rsidRPr="004B34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265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или</w:t>
            </w:r>
            <w:r w:rsidRPr="004B34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2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doxycycline</w:t>
            </w:r>
            <w:r w:rsidRPr="004B34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265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или</w:t>
            </w:r>
            <w:r w:rsidRPr="004B34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2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mefloquine</w:t>
            </w:r>
            <w:r w:rsidRPr="00FE7265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 (изборът е съгласно данните за докладваните странични ефекти и контраиндикации)</w:t>
            </w:r>
            <w:r w:rsidRPr="00FE726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>a</w:t>
            </w:r>
          </w:p>
        </w:tc>
      </w:tr>
      <w:tr w:rsidR="003533B8" w:rsidRPr="0050176B" w:rsidTr="00FE7265">
        <w:tc>
          <w:tcPr>
            <w:tcW w:w="1188" w:type="dxa"/>
            <w:tcBorders>
              <w:bottom w:val="single" w:sz="8" w:space="0" w:color="000000"/>
            </w:tcBorders>
          </w:tcPr>
          <w:p w:rsidR="003533B8" w:rsidRPr="00FE7265" w:rsidRDefault="003533B8" w:rsidP="00FE7265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FE7265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/>
              </w:rPr>
              <w:t xml:space="preserve">Тип </w:t>
            </w:r>
            <w:r w:rsidRPr="00FE7265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3699" w:type="dxa"/>
            <w:tcBorders>
              <w:bottom w:val="single" w:sz="8" w:space="0" w:color="000000"/>
            </w:tcBorders>
          </w:tcPr>
          <w:p w:rsidR="003533B8" w:rsidRPr="00FE7265" w:rsidRDefault="003533B8" w:rsidP="00FE7265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FE7265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Риск за </w:t>
            </w:r>
            <w:r w:rsidRPr="00FE7265">
              <w:rPr>
                <w:rFonts w:ascii="Times New Roman" w:hAnsi="Times New Roman"/>
                <w:i/>
                <w:color w:val="000000"/>
                <w:sz w:val="24"/>
                <w:szCs w:val="24"/>
                <w:lang w:val="bg-BG"/>
              </w:rPr>
              <w:t>P. falciparum</w:t>
            </w:r>
            <w:r w:rsidRPr="00FE7265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 малария и докладвана мултилекарствена резистентност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:rsidR="003533B8" w:rsidRPr="00FE7265" w:rsidRDefault="003533B8" w:rsidP="00FE7265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FE7265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Предпазване от ухапвания от комари плюс химиопрофилактика с atovaquone–</w:t>
            </w:r>
          </w:p>
          <w:p w:rsidR="003533B8" w:rsidRPr="004B341D" w:rsidRDefault="003533B8" w:rsidP="00FE7265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/>
              </w:rPr>
            </w:pPr>
            <w:r w:rsidRPr="00FE7265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proguanil или doxycycline или mefloquine (изборът е съгласно данните за докладваните странични ефекти и контраиндикации)</w:t>
            </w:r>
            <w:r w:rsidRPr="00FE726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bg-BG"/>
              </w:rPr>
              <w:t>а</w:t>
            </w:r>
            <w:r w:rsidRPr="004B341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/>
              </w:rPr>
              <w:t xml:space="preserve">, </w:t>
            </w:r>
            <w:r w:rsidRPr="00FE726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>b</w:t>
            </w:r>
          </w:p>
        </w:tc>
      </w:tr>
    </w:tbl>
    <w:p w:rsidR="003533B8" w:rsidRDefault="003533B8" w:rsidP="00CA5843">
      <w:pPr>
        <w:spacing w:line="36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3533B8" w:rsidRPr="004B341D" w:rsidRDefault="003533B8" w:rsidP="000268D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4B341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Алтернативно за пътуващи в селски и слабо населени райони с риск от малария Тип А, предпазните мерки за ухапвания от комари могат да се съчетаят с възможност за провеждане на спешно лечение (</w:t>
      </w:r>
      <w:r w:rsidRPr="004D5EB8">
        <w:rPr>
          <w:rFonts w:ascii="Times New Roman" w:hAnsi="Times New Roman"/>
          <w:sz w:val="24"/>
          <w:szCs w:val="24"/>
          <w:lang w:val="bg-BG"/>
        </w:rPr>
        <w:t>stand-by emergency treatment</w:t>
      </w:r>
      <w:r w:rsidRPr="004B341D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SBET</w:t>
      </w:r>
      <w:r w:rsidRPr="004B341D">
        <w:rPr>
          <w:rFonts w:ascii="Times New Roman" w:hAnsi="Times New Roman"/>
          <w:sz w:val="24"/>
          <w:szCs w:val="24"/>
          <w:lang w:val="ru-RU"/>
        </w:rPr>
        <w:t>)</w:t>
      </w:r>
    </w:p>
    <w:p w:rsidR="003533B8" w:rsidRPr="0050176B" w:rsidRDefault="003533B8" w:rsidP="000268D6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>.</w:t>
      </w:r>
      <w:r w:rsidRPr="004B341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0176B">
        <w:rPr>
          <w:rFonts w:ascii="Times New Roman" w:hAnsi="Times New Roman"/>
          <w:b/>
          <w:sz w:val="24"/>
          <w:szCs w:val="24"/>
          <w:lang w:val="ru-RU"/>
        </w:rPr>
        <w:t xml:space="preserve">В някои райони с множествена лекарствена </w:t>
      </w:r>
      <w:r w:rsidRPr="0050176B">
        <w:rPr>
          <w:rFonts w:ascii="Times New Roman" w:hAnsi="Times New Roman"/>
          <w:b/>
          <w:sz w:val="24"/>
          <w:szCs w:val="24"/>
          <w:lang w:val="bg-BG"/>
        </w:rPr>
        <w:t>резистентност</w:t>
      </w:r>
      <w:r w:rsidRPr="0050176B">
        <w:rPr>
          <w:rFonts w:ascii="Times New Roman" w:hAnsi="Times New Roman"/>
          <w:b/>
          <w:sz w:val="24"/>
          <w:szCs w:val="24"/>
          <w:lang w:val="ru-RU"/>
        </w:rPr>
        <w:t>, химиопрофилактика</w:t>
      </w:r>
      <w:r w:rsidRPr="0050176B">
        <w:rPr>
          <w:rFonts w:ascii="Times New Roman" w:hAnsi="Times New Roman"/>
          <w:b/>
          <w:sz w:val="24"/>
          <w:szCs w:val="24"/>
          <w:lang w:val="bg-BG"/>
        </w:rPr>
        <w:t xml:space="preserve"> с </w:t>
      </w:r>
      <w:r w:rsidRPr="0050176B">
        <w:rPr>
          <w:rFonts w:ascii="Times New Roman" w:hAnsi="Times New Roman"/>
          <w:b/>
          <w:sz w:val="24"/>
          <w:szCs w:val="24"/>
          <w:lang w:val="ru-RU"/>
        </w:rPr>
        <w:t>мефлокин вече не се препоръчва.</w:t>
      </w:r>
    </w:p>
    <w:p w:rsidR="003533B8" w:rsidRDefault="003533B8" w:rsidP="00C47ED7">
      <w:pPr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0176B">
        <w:rPr>
          <w:rFonts w:ascii="Times New Roman" w:hAnsi="Times New Roman"/>
          <w:b/>
          <w:sz w:val="24"/>
          <w:szCs w:val="24"/>
          <w:lang w:val="bg-BG"/>
        </w:rPr>
        <w:t>За</w:t>
      </w:r>
      <w:r w:rsidRPr="0050176B">
        <w:rPr>
          <w:rFonts w:ascii="Times New Roman" w:hAnsi="Times New Roman"/>
          <w:b/>
          <w:sz w:val="24"/>
          <w:szCs w:val="24"/>
          <w:lang w:val="ru-RU"/>
        </w:rPr>
        <w:t xml:space="preserve"> момента това включва Камбоджа, Югоизточен регион на Мианмар и Тайланд.</w:t>
      </w:r>
      <w:bookmarkStart w:id="0" w:name="_GoBack"/>
      <w:bookmarkEnd w:id="0"/>
    </w:p>
    <w:p w:rsidR="003533B8" w:rsidRDefault="003533B8" w:rsidP="00E028F9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533B8" w:rsidRDefault="003533B8" w:rsidP="00E028F9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533B8" w:rsidRDefault="003533B8" w:rsidP="00E028F9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533B8" w:rsidRPr="005B1BA2" w:rsidRDefault="003533B8" w:rsidP="00C078F8">
      <w:pPr>
        <w:spacing w:after="0" w:line="240" w:lineRule="auto"/>
        <w:jc w:val="center"/>
        <w:rPr>
          <w:rFonts w:ascii="Times New Roman" w:hAnsi="Times New Roman"/>
          <w:b/>
          <w:lang w:val="bg-BG"/>
        </w:rPr>
      </w:pPr>
    </w:p>
    <w:p w:rsidR="003533B8" w:rsidRDefault="003533B8" w:rsidP="0050176B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sectPr w:rsidR="003533B8" w:rsidSect="00EB2822">
      <w:pgSz w:w="15840" w:h="12240" w:orient="landscape"/>
      <w:pgMar w:top="794" w:right="794" w:bottom="79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C3B"/>
    <w:multiLevelType w:val="hybridMultilevel"/>
    <w:tmpl w:val="5DA4F832"/>
    <w:lvl w:ilvl="0" w:tplc="9B4AE6C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157D3C"/>
    <w:multiLevelType w:val="hybridMultilevel"/>
    <w:tmpl w:val="DE0E6248"/>
    <w:lvl w:ilvl="0" w:tplc="7AB2A11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96DD8"/>
    <w:multiLevelType w:val="hybridMultilevel"/>
    <w:tmpl w:val="86FCF5B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4B5405"/>
    <w:multiLevelType w:val="multilevel"/>
    <w:tmpl w:val="13B8BD42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3D9070C8"/>
    <w:multiLevelType w:val="multilevel"/>
    <w:tmpl w:val="D310834E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FE53F78"/>
    <w:multiLevelType w:val="hybridMultilevel"/>
    <w:tmpl w:val="A6C2FCFA"/>
    <w:lvl w:ilvl="0" w:tplc="7D3CE03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E2741"/>
    <w:multiLevelType w:val="hybridMultilevel"/>
    <w:tmpl w:val="45FC305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43"/>
    <w:rsid w:val="000268D6"/>
    <w:rsid w:val="00092637"/>
    <w:rsid w:val="001850E9"/>
    <w:rsid w:val="0018514B"/>
    <w:rsid w:val="00241F78"/>
    <w:rsid w:val="002C6143"/>
    <w:rsid w:val="003533B8"/>
    <w:rsid w:val="003A3AB8"/>
    <w:rsid w:val="004358B4"/>
    <w:rsid w:val="00441305"/>
    <w:rsid w:val="004B341D"/>
    <w:rsid w:val="004D5EB8"/>
    <w:rsid w:val="004F400E"/>
    <w:rsid w:val="0050176B"/>
    <w:rsid w:val="00522045"/>
    <w:rsid w:val="0053404A"/>
    <w:rsid w:val="005B1BA2"/>
    <w:rsid w:val="00633206"/>
    <w:rsid w:val="00670ACC"/>
    <w:rsid w:val="006C5B2F"/>
    <w:rsid w:val="0075014D"/>
    <w:rsid w:val="007577BC"/>
    <w:rsid w:val="00882370"/>
    <w:rsid w:val="00944A02"/>
    <w:rsid w:val="009E1AE0"/>
    <w:rsid w:val="00A17CC0"/>
    <w:rsid w:val="00B04960"/>
    <w:rsid w:val="00B37B06"/>
    <w:rsid w:val="00BB2090"/>
    <w:rsid w:val="00C078F8"/>
    <w:rsid w:val="00C23DD3"/>
    <w:rsid w:val="00C47ED7"/>
    <w:rsid w:val="00CA5843"/>
    <w:rsid w:val="00D530F9"/>
    <w:rsid w:val="00DF1303"/>
    <w:rsid w:val="00E028F9"/>
    <w:rsid w:val="00E138C8"/>
    <w:rsid w:val="00E91FD5"/>
    <w:rsid w:val="00EB2822"/>
    <w:rsid w:val="00FC6900"/>
    <w:rsid w:val="00FE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CC0"/>
    <w:pPr>
      <w:spacing w:after="200" w:line="276" w:lineRule="auto"/>
    </w:pPr>
    <w:rPr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78F8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78F8"/>
    <w:rPr>
      <w:rFonts w:ascii="Times New Roman" w:hAnsi="Times New Roman" w:cs="Times New Roman"/>
      <w:sz w:val="20"/>
      <w:szCs w:val="20"/>
      <w:u w:val="single"/>
      <w:lang w:val="bg-BG"/>
    </w:rPr>
  </w:style>
  <w:style w:type="table" w:styleId="TableGrid">
    <w:name w:val="Table Grid"/>
    <w:basedOn w:val="TableNormal"/>
    <w:uiPriority w:val="99"/>
    <w:rsid w:val="00CA58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99"/>
    <w:rsid w:val="00CA5843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odyText">
    <w:name w:val="Body Text"/>
    <w:basedOn w:val="Normal"/>
    <w:link w:val="BodyTextChar"/>
    <w:uiPriority w:val="99"/>
    <w:rsid w:val="00C078F8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078F8"/>
    <w:rPr>
      <w:rFonts w:ascii="Times New Roman" w:hAnsi="Times New Roman" w:cs="Times New Roman"/>
      <w:sz w:val="20"/>
      <w:szCs w:val="20"/>
      <w:lang w:val="bg-BG"/>
    </w:rPr>
  </w:style>
  <w:style w:type="paragraph" w:styleId="BodyText2">
    <w:name w:val="Body Text 2"/>
    <w:basedOn w:val="Normal"/>
    <w:link w:val="BodyText2Char"/>
    <w:uiPriority w:val="99"/>
    <w:rsid w:val="00C078F8"/>
    <w:pPr>
      <w:spacing w:after="0" w:line="240" w:lineRule="auto"/>
    </w:pPr>
    <w:rPr>
      <w:rFonts w:ascii="Times New Roman" w:eastAsia="Times New Roman" w:hAnsi="Times New Roman"/>
      <w:sz w:val="24"/>
      <w:szCs w:val="20"/>
      <w:u w:val="single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078F8"/>
    <w:rPr>
      <w:rFonts w:ascii="Times New Roman" w:hAnsi="Times New Roman" w:cs="Times New Roman"/>
      <w:sz w:val="20"/>
      <w:szCs w:val="20"/>
      <w:u w:val="single"/>
      <w:lang w:val="bg-BG"/>
    </w:rPr>
  </w:style>
  <w:style w:type="paragraph" w:styleId="Header">
    <w:name w:val="header"/>
    <w:basedOn w:val="Normal"/>
    <w:link w:val="HeaderChar"/>
    <w:uiPriority w:val="99"/>
    <w:rsid w:val="00C078F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0"/>
      <w:lang w:val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078F8"/>
    <w:rPr>
      <w:rFonts w:ascii="Times New Roman" w:hAnsi="Times New Roman" w:cs="Times New Roman"/>
      <w:sz w:val="20"/>
      <w:szCs w:val="20"/>
      <w:lang w:val="bg-BG"/>
    </w:rPr>
  </w:style>
  <w:style w:type="character" w:styleId="PageNumber">
    <w:name w:val="page number"/>
    <w:basedOn w:val="DefaultParagraphFont"/>
    <w:uiPriority w:val="99"/>
    <w:rsid w:val="00C078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078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078F8"/>
    <w:rPr>
      <w:rFonts w:ascii="Times New Roman" w:hAnsi="Times New Roman" w:cs="Times New Roman"/>
      <w:sz w:val="20"/>
      <w:szCs w:val="20"/>
      <w:lang w:val="bg-BG"/>
    </w:rPr>
  </w:style>
  <w:style w:type="paragraph" w:styleId="ListParagraph">
    <w:name w:val="List Paragraph"/>
    <w:basedOn w:val="Normal"/>
    <w:uiPriority w:val="99"/>
    <w:qFormat/>
    <w:rsid w:val="00B37B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CC0"/>
    <w:pPr>
      <w:spacing w:after="200" w:line="276" w:lineRule="auto"/>
    </w:pPr>
    <w:rPr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78F8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78F8"/>
    <w:rPr>
      <w:rFonts w:ascii="Times New Roman" w:hAnsi="Times New Roman" w:cs="Times New Roman"/>
      <w:sz w:val="20"/>
      <w:szCs w:val="20"/>
      <w:u w:val="single"/>
      <w:lang w:val="bg-BG"/>
    </w:rPr>
  </w:style>
  <w:style w:type="table" w:styleId="TableGrid">
    <w:name w:val="Table Grid"/>
    <w:basedOn w:val="TableNormal"/>
    <w:uiPriority w:val="99"/>
    <w:rsid w:val="00CA58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99"/>
    <w:rsid w:val="00CA5843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odyText">
    <w:name w:val="Body Text"/>
    <w:basedOn w:val="Normal"/>
    <w:link w:val="BodyTextChar"/>
    <w:uiPriority w:val="99"/>
    <w:rsid w:val="00C078F8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078F8"/>
    <w:rPr>
      <w:rFonts w:ascii="Times New Roman" w:hAnsi="Times New Roman" w:cs="Times New Roman"/>
      <w:sz w:val="20"/>
      <w:szCs w:val="20"/>
      <w:lang w:val="bg-BG"/>
    </w:rPr>
  </w:style>
  <w:style w:type="paragraph" w:styleId="BodyText2">
    <w:name w:val="Body Text 2"/>
    <w:basedOn w:val="Normal"/>
    <w:link w:val="BodyText2Char"/>
    <w:uiPriority w:val="99"/>
    <w:rsid w:val="00C078F8"/>
    <w:pPr>
      <w:spacing w:after="0" w:line="240" w:lineRule="auto"/>
    </w:pPr>
    <w:rPr>
      <w:rFonts w:ascii="Times New Roman" w:eastAsia="Times New Roman" w:hAnsi="Times New Roman"/>
      <w:sz w:val="24"/>
      <w:szCs w:val="20"/>
      <w:u w:val="single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078F8"/>
    <w:rPr>
      <w:rFonts w:ascii="Times New Roman" w:hAnsi="Times New Roman" w:cs="Times New Roman"/>
      <w:sz w:val="20"/>
      <w:szCs w:val="20"/>
      <w:u w:val="single"/>
      <w:lang w:val="bg-BG"/>
    </w:rPr>
  </w:style>
  <w:style w:type="paragraph" w:styleId="Header">
    <w:name w:val="header"/>
    <w:basedOn w:val="Normal"/>
    <w:link w:val="HeaderChar"/>
    <w:uiPriority w:val="99"/>
    <w:rsid w:val="00C078F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0"/>
      <w:lang w:val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078F8"/>
    <w:rPr>
      <w:rFonts w:ascii="Times New Roman" w:hAnsi="Times New Roman" w:cs="Times New Roman"/>
      <w:sz w:val="20"/>
      <w:szCs w:val="20"/>
      <w:lang w:val="bg-BG"/>
    </w:rPr>
  </w:style>
  <w:style w:type="character" w:styleId="PageNumber">
    <w:name w:val="page number"/>
    <w:basedOn w:val="DefaultParagraphFont"/>
    <w:uiPriority w:val="99"/>
    <w:rsid w:val="00C078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078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078F8"/>
    <w:rPr>
      <w:rFonts w:ascii="Times New Roman" w:hAnsi="Times New Roman" w:cs="Times New Roman"/>
      <w:sz w:val="20"/>
      <w:szCs w:val="20"/>
      <w:lang w:val="bg-BG"/>
    </w:rPr>
  </w:style>
  <w:style w:type="paragraph" w:styleId="ListParagraph">
    <w:name w:val="List Paragraph"/>
    <w:basedOn w:val="Normal"/>
    <w:uiPriority w:val="99"/>
    <w:qFormat/>
    <w:rsid w:val="00B37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Класификация на риска от малария и вид на превантивните мерки (по СЗО 2015)</vt:lpstr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Класификация на риска от малария и вид на превантивните мерки (по СЗО 2015)</dc:title>
  <dc:creator>Harizanow</dc:creator>
  <cp:lastModifiedBy>Office 97</cp:lastModifiedBy>
  <cp:revision>3</cp:revision>
  <dcterms:created xsi:type="dcterms:W3CDTF">2016-04-22T10:31:00Z</dcterms:created>
  <dcterms:modified xsi:type="dcterms:W3CDTF">2016-04-22T10:31:00Z</dcterms:modified>
</cp:coreProperties>
</file>