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CB"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AB09C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</w:t>
      </w:r>
      <w:proofErr w:type="spellStart"/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ГАРЕВ</w:t>
      </w:r>
      <w:proofErr w:type="spellEnd"/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 НА </w:t>
      </w:r>
      <w:proofErr w:type="spellStart"/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РЗИ</w:t>
      </w:r>
      <w:proofErr w:type="spellEnd"/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ПЛЕВЕН</w:t>
      </w: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09CB" w:rsidRPr="00AB09CB" w:rsidRDefault="00AB09CB" w:rsidP="00AB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AB09C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08</w:t>
      </w:r>
      <w:r w:rsidRPr="00AB0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.06.2018 г.</w:t>
      </w:r>
    </w:p>
    <w:p w:rsidR="00AB09CB" w:rsidRPr="00AB09CB" w:rsidRDefault="00AB09CB" w:rsidP="00AB09CB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AB09CB" w:rsidRPr="00AB09CB" w:rsidRDefault="00AB09CB" w:rsidP="00AB09CB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AB09CB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B00641" w:rsidRPr="00F05BC3" w:rsidRDefault="002E7BF6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ИЗВЪРШВАНЕ НА КОНСУЛТАЦИИ, ПРЕДСТАВЛЯВАЩИ ЗАКОНЕН ИНТЕРЕС ЗА ФИЗИЧЕСКО ИЛИ ЮРИДИЧЕСКО ЛИЦЕ ОТНОСНО </w:t>
      </w:r>
      <w:proofErr w:type="spellStart"/>
      <w:r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АДМИНИСТРАТИВНОПРАВЕН</w:t>
      </w:r>
      <w:proofErr w:type="spellEnd"/>
      <w:r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</w:r>
    </w:p>
    <w:p w:rsidR="002E7BF6" w:rsidRPr="00B00641" w:rsidRDefault="002E7BF6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A0DE8" w:rsidRPr="000A0DE8" w:rsidRDefault="000A0DE8" w:rsidP="000A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bookmarkStart w:id="0" w:name="_GoBack"/>
      <w:bookmarkEnd w:id="0"/>
      <w:r w:rsidRPr="000A0DE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0A0DE8" w:rsidRPr="000A0DE8" w:rsidRDefault="00DB7163" w:rsidP="00DB716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DB716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§.1, т.2, б. г</w:t>
      </w:r>
      <w:r w:rsidR="006479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Закон за администрацията  </w:t>
      </w:r>
    </w:p>
    <w:p w:rsidR="000A0DE8" w:rsidRDefault="000A0DE8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II. ХАРАКТЕРИСТИКА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6479C3" w:rsidRDefault="00D525B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звършване на консултацията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 подадено заявле</w:t>
      </w:r>
      <w:r>
        <w:rPr>
          <w:rFonts w:ascii="Times New Roman" w:eastAsia="Times New Roman" w:hAnsi="Times New Roman" w:cs="Times New Roman"/>
          <w:sz w:val="24"/>
          <w:szCs w:val="24"/>
        </w:rPr>
        <w:t>ние от страна на заинтересовано</w:t>
      </w: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D525B3" w:rsidRPr="00D525B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>Предмет на административната услуга са условията и редът за извършване на консултации, представляващи законен интерес за физическо или юридическо лице, относно:</w:t>
      </w:r>
    </w:p>
    <w:p w:rsidR="00D525B3" w:rsidRPr="00D525B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D525B3">
        <w:rPr>
          <w:rFonts w:ascii="Times New Roman" w:eastAsia="Times New Roman" w:hAnsi="Times New Roman" w:cs="Times New Roman"/>
          <w:sz w:val="24"/>
          <w:szCs w:val="24"/>
        </w:rPr>
        <w:t>административноправен</w:t>
      </w:r>
      <w:proofErr w:type="spellEnd"/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 режим, които се дават по силата на нормативен акт;</w:t>
      </w:r>
    </w:p>
    <w:p w:rsidR="00D525B3" w:rsidRPr="00D525B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>-    издаване на административен акт;</w:t>
      </w:r>
    </w:p>
    <w:p w:rsidR="006479C3" w:rsidRPr="006479C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>-    извършване на административна услуга.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proofErr w:type="spellStart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ІII</w:t>
      </w:r>
      <w:proofErr w:type="spellEnd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. ПРОЦЕДУРА ПО </w:t>
      </w:r>
      <w:r w:rsidR="00593CBB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ИЗВЪРШВАНЕ НА КОНСУЛТАЦИИ</w:t>
      </w:r>
    </w:p>
    <w:p w:rsidR="006479C3" w:rsidRPr="006479C3" w:rsidRDefault="006479C3" w:rsidP="006479C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Компетентен орган: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Регионална здравна инспекция -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321D6D" w:rsidRDefault="00F47810" w:rsidP="00593CB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3CB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93CBB" w:rsidRPr="00593CBB">
        <w:rPr>
          <w:rFonts w:ascii="Times New Roman" w:eastAsia="Times New Roman" w:hAnsi="Times New Roman" w:cs="Times New Roman"/>
          <w:sz w:val="24"/>
          <w:szCs w:val="24"/>
        </w:rPr>
        <w:t>изическо лице или юридическо лице, притежаващо законен интерес от извършване на консултацията</w:t>
      </w:r>
      <w:r w:rsidR="00CE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CBB" w:rsidRDefault="00593CBB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Нормативно установени изисквания, които трябва да бъдат изпълнени, за да бъде </w:t>
      </w:r>
      <w:r w:rsidR="00CE79A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извършена услугата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93CBB" w:rsidRPr="00593CBB" w:rsidRDefault="00593CBB" w:rsidP="00593CB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Заявление по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устно заявена услуга до Директора на </w:t>
      </w:r>
      <w:proofErr w:type="spellStart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21D6D" w:rsidRPr="00593CBB" w:rsidRDefault="00593CBB" w:rsidP="00593CB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Друга документация, в зависимост от </w:t>
      </w:r>
      <w:proofErr w:type="spellStart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административноправния</w:t>
      </w:r>
      <w:proofErr w:type="spellEnd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режим, административния акт или административната услуга, за която лицето е заявило извършването на консултация.</w:t>
      </w:r>
    </w:p>
    <w:p w:rsidR="00321D6D" w:rsidRDefault="00321D6D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6479C3" w:rsidRPr="00F47810" w:rsidRDefault="006479C3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B878B9" w:rsidRPr="00B878B9" w:rsidRDefault="00F47810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Заявлението (по образец) за извършване на административната услуга 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да се подад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писмено /в Звеното за административно обслужване в </w:t>
      </w:r>
      <w:proofErr w:type="spellStart"/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– Плевен, ул. Княз 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lastRenderedPageBreak/>
        <w:t>Ал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 xml:space="preserve">ександър 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Батенберг 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№7, чрез лицензиран пощенски оператор, по електронен път/ или устно.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Исканията, внесени устно, се отразяват в протокол съгласно примерен образец от гл.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специалист в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ЗАО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/деловодство/.</w:t>
      </w:r>
    </w:p>
    <w:p w:rsid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В писменото заявление задължително трябва да се впишат: три имена, адрес, точно описание на искането, представени документи и предпочитан начин за получаване на услугата.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Подаденото заявление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се завежда и Единната информационна система за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документооборот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от служителите на Звеното.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насочва с резолюция заявлението до директор на дирекция по компетентност за отговор.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При заявено желание от потребителя консултацията се предоставя в устна форма, от служител със съответната професионална компетентност в деня на заявяването или в друг срок по договореност на страните.</w:t>
      </w:r>
    </w:p>
    <w:p w:rsid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Писмената консултацията се предоставя в 7-дневен срок от постъпване на запитването.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Предоставянето на административната услуга може да бъде извършено на мястото, където е заявена, на посочен точен адрес чрез лицензиран пощенски оператор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При заявено получаване чрез лицензиран пощенски операт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искана информация се изпраща, 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като вътрешна препоръчана пощенска пратка или като вътрешна куриерска пратка за с</w:t>
      </w:r>
      <w:r>
        <w:rPr>
          <w:rFonts w:ascii="Times New Roman" w:eastAsia="Times New Roman" w:hAnsi="Times New Roman" w:cs="Times New Roman"/>
          <w:sz w:val="24"/>
          <w:szCs w:val="24"/>
        </w:rPr>
        <w:t>метка на заявителя (получателя).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ената за пощенската услуга се заплаща от заяв</w:t>
      </w:r>
      <w:r>
        <w:rPr>
          <w:rFonts w:ascii="Times New Roman" w:eastAsia="Times New Roman" w:hAnsi="Times New Roman" w:cs="Times New Roman"/>
          <w:sz w:val="24"/>
          <w:szCs w:val="24"/>
        </w:rPr>
        <w:t>ителя при доставяне на пратката.</w:t>
      </w:r>
    </w:p>
    <w:p w:rsidR="009260C7" w:rsidRDefault="009260C7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60C7">
        <w:rPr>
          <w:rFonts w:ascii="Times New Roman" w:eastAsia="Times New Roman" w:hAnsi="Times New Roman" w:cs="Times New Roman"/>
          <w:sz w:val="24"/>
          <w:szCs w:val="24"/>
        </w:rPr>
        <w:t>Консултацията се извършва в деня на заявяването или друг срок по договореност на страните.</w:t>
      </w:r>
    </w:p>
    <w:p w:rsidR="00321D6D" w:rsidRDefault="00321D6D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B878B9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B878B9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Отказ за предоставяне на услугата</w:t>
      </w:r>
    </w:p>
    <w:p w:rsidR="006479C3" w:rsidRPr="006479C3" w:rsidRDefault="00B878B9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Плевен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може да откаже извършване на консултация: при непълноти в документацията, неотстранени в указания срок и/ или при несъответствие на постъпилите документи и съдържанието им с нормативно установените изисквания.</w:t>
      </w:r>
    </w:p>
    <w:p w:rsidR="00B878B9" w:rsidRDefault="00B878B9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Права и задължения на лицата:</w:t>
      </w:r>
    </w:p>
    <w:p w:rsidR="006479C3" w:rsidRPr="006479C3" w:rsidRDefault="00B878B9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Извършена консултация на физическо или юридическо лице, относно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административноправен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режим, която се дава по силата на нормативен акт или която е свързана с издаване на административен акт или с извършване на друга административна услуга от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9260C7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Срок на валидност:</w:t>
      </w:r>
    </w:p>
    <w:p w:rsidR="006479C3" w:rsidRPr="006479C3" w:rsidRDefault="009260C7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60C7">
        <w:rPr>
          <w:rFonts w:ascii="Times New Roman" w:eastAsia="Times New Roman" w:hAnsi="Times New Roman" w:cs="Times New Roman"/>
          <w:sz w:val="24"/>
          <w:szCs w:val="24"/>
        </w:rPr>
        <w:t xml:space="preserve">До настъпване на промяна в нормативната уредба, </w:t>
      </w:r>
      <w:proofErr w:type="spellStart"/>
      <w:r w:rsidRPr="009260C7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9260C7">
        <w:rPr>
          <w:rFonts w:ascii="Times New Roman" w:eastAsia="Times New Roman" w:hAnsi="Times New Roman" w:cs="Times New Roman"/>
          <w:sz w:val="24"/>
          <w:szCs w:val="24"/>
        </w:rPr>
        <w:t xml:space="preserve"> законния интерес по </w:t>
      </w:r>
      <w:proofErr w:type="spellStart"/>
      <w:r w:rsidRPr="009260C7">
        <w:rPr>
          <w:rFonts w:ascii="Times New Roman" w:eastAsia="Times New Roman" w:hAnsi="Times New Roman" w:cs="Times New Roman"/>
          <w:sz w:val="24"/>
          <w:szCs w:val="24"/>
        </w:rPr>
        <w:t>конкрутния</w:t>
      </w:r>
      <w:proofErr w:type="spellEnd"/>
      <w:r w:rsidRPr="009260C7">
        <w:rPr>
          <w:rFonts w:ascii="Times New Roman" w:eastAsia="Times New Roman" w:hAnsi="Times New Roman" w:cs="Times New Roman"/>
          <w:sz w:val="24"/>
          <w:szCs w:val="24"/>
        </w:rPr>
        <w:t xml:space="preserve"> случай.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Такса:</w:t>
      </w:r>
    </w:p>
    <w:p w:rsidR="006479C3" w:rsidRPr="006479C3" w:rsidRDefault="006479C3" w:rsidP="006479C3">
      <w:pPr>
        <w:spacing w:after="0" w:line="21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D3E">
        <w:rPr>
          <w:rFonts w:ascii="Times New Roman" w:eastAsia="Times New Roman" w:hAnsi="Times New Roman" w:cs="Times New Roman"/>
          <w:sz w:val="24"/>
          <w:szCs w:val="24"/>
        </w:rPr>
        <w:t>Такси не се дължат.</w:t>
      </w:r>
    </w:p>
    <w:p w:rsid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</w:p>
    <w:p w:rsidR="000C6D3E" w:rsidRP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  <w:r w:rsidRPr="000C6D3E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IV. ОБРАЗЦИ И ФОРМУЛЯРИ</w:t>
      </w:r>
    </w:p>
    <w:p w:rsidR="009260C7" w:rsidRPr="009260C7" w:rsidRDefault="009260C7" w:rsidP="009260C7">
      <w:pPr>
        <w:pStyle w:val="ListParagraph"/>
        <w:numPr>
          <w:ilvl w:val="0"/>
          <w:numId w:val="7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</w:rPr>
      </w:pPr>
      <w:r w:rsidRPr="009260C7">
        <w:rPr>
          <w:rFonts w:ascii="Times New Roman" w:eastAsia="Times New Roman" w:hAnsi="Times New Roman" w:cs="Times New Roman"/>
          <w:sz w:val="24"/>
          <w:szCs w:val="24"/>
        </w:rPr>
        <w:t>Заявление за извършване на консултация</w:t>
      </w:r>
    </w:p>
    <w:p w:rsidR="006479C3" w:rsidRPr="009260C7" w:rsidRDefault="009260C7" w:rsidP="009260C7">
      <w:pPr>
        <w:pStyle w:val="ListParagraph"/>
        <w:numPr>
          <w:ilvl w:val="0"/>
          <w:numId w:val="7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60C7">
        <w:rPr>
          <w:rFonts w:ascii="Times New Roman" w:eastAsia="Times New Roman" w:hAnsi="Times New Roman" w:cs="Times New Roman"/>
          <w:sz w:val="24"/>
          <w:szCs w:val="24"/>
        </w:rPr>
        <w:t>Протокол за устно заявена услуга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9715C" w:rsidRDefault="0069715C" w:rsidP="00B00641">
      <w:pPr>
        <w:spacing w:after="0"/>
        <w:rPr>
          <w:rFonts w:ascii="Times New Roman" w:hAnsi="Times New Roman" w:cs="Times New Roman"/>
          <w:color w:val="FF0000"/>
        </w:rPr>
      </w:pPr>
    </w:p>
    <w:sectPr w:rsidR="0069715C" w:rsidSect="000A0DE8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DF" w:rsidRDefault="00A919DF" w:rsidP="008658DD">
      <w:pPr>
        <w:spacing w:after="0" w:line="240" w:lineRule="auto"/>
      </w:pPr>
      <w:r>
        <w:separator/>
      </w:r>
    </w:p>
  </w:endnote>
  <w:endnote w:type="continuationSeparator" w:id="0">
    <w:p w:rsidR="00A919DF" w:rsidRDefault="00A919DF" w:rsidP="008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D" w:rsidRDefault="008658D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pacing w:val="60"/>
                                <w:sz w:val="20"/>
                                <w:szCs w:val="20"/>
                                <w:lang w:val="en-AU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658DD" w:rsidRDefault="008658DD" w:rsidP="008658DD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Административни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услуги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РЗИ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-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Плевен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DD" w:rsidRPr="008C5BC3" w:rsidRDefault="008658D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8C5BC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AB09CB" w:rsidRPr="00AB09CB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spacing w:val="60"/>
                          <w:sz w:val="20"/>
                          <w:szCs w:val="20"/>
                          <w:lang w:val="en-AU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658DD" w:rsidRDefault="008658DD" w:rsidP="008658DD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Административни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услуги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РЗИ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-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Плевен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658DD" w:rsidRPr="008C5BC3" w:rsidRDefault="008658DD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8C5BC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8C5BC3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8C5BC3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8C5BC3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AB09CB" w:rsidRPr="00AB09CB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8C5BC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658DD" w:rsidRDefault="0086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DF" w:rsidRDefault="00A919DF" w:rsidP="008658DD">
      <w:pPr>
        <w:spacing w:after="0" w:line="240" w:lineRule="auto"/>
      </w:pPr>
      <w:r>
        <w:separator/>
      </w:r>
    </w:p>
  </w:footnote>
  <w:footnote w:type="continuationSeparator" w:id="0">
    <w:p w:rsidR="00A919DF" w:rsidRDefault="00A919DF" w:rsidP="0086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11.25pt;height:10pt" o:bullet="t">
        <v:imagedata r:id="rId1" o:title="BD21300_"/>
      </v:shape>
    </w:pict>
  </w:numPicBullet>
  <w:abstractNum w:abstractNumId="0">
    <w:nsid w:val="16DC1A2E"/>
    <w:multiLevelType w:val="hybridMultilevel"/>
    <w:tmpl w:val="FDE4C2E8"/>
    <w:lvl w:ilvl="0" w:tplc="C4A45F1E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36AF"/>
    <w:multiLevelType w:val="hybridMultilevel"/>
    <w:tmpl w:val="4EC8CEE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4A"/>
    <w:multiLevelType w:val="hybridMultilevel"/>
    <w:tmpl w:val="11DEF88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62674C66"/>
    <w:multiLevelType w:val="hybridMultilevel"/>
    <w:tmpl w:val="799A9F8C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1"/>
    <w:rsid w:val="000101B9"/>
    <w:rsid w:val="00076BEB"/>
    <w:rsid w:val="000A0DE8"/>
    <w:rsid w:val="000C6D3E"/>
    <w:rsid w:val="00156834"/>
    <w:rsid w:val="001D416C"/>
    <w:rsid w:val="002E7BF6"/>
    <w:rsid w:val="00321D6D"/>
    <w:rsid w:val="004C5DB9"/>
    <w:rsid w:val="004F4056"/>
    <w:rsid w:val="00501231"/>
    <w:rsid w:val="00501F00"/>
    <w:rsid w:val="00593CBB"/>
    <w:rsid w:val="005B579A"/>
    <w:rsid w:val="006479C3"/>
    <w:rsid w:val="0069715C"/>
    <w:rsid w:val="008658DD"/>
    <w:rsid w:val="008C5BC3"/>
    <w:rsid w:val="009260C7"/>
    <w:rsid w:val="00A50DBF"/>
    <w:rsid w:val="00A919DF"/>
    <w:rsid w:val="00AB09CB"/>
    <w:rsid w:val="00B00641"/>
    <w:rsid w:val="00B10F5A"/>
    <w:rsid w:val="00B878B9"/>
    <w:rsid w:val="00BE7FC3"/>
    <w:rsid w:val="00C70C54"/>
    <w:rsid w:val="00CE79A8"/>
    <w:rsid w:val="00D3553E"/>
    <w:rsid w:val="00D525B3"/>
    <w:rsid w:val="00DB7163"/>
    <w:rsid w:val="00E21757"/>
    <w:rsid w:val="00EB5BA6"/>
    <w:rsid w:val="00EC51EA"/>
    <w:rsid w:val="00F05BC3"/>
    <w:rsid w:val="00F47810"/>
    <w:rsid w:val="00F67DBD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- Плевен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</cp:revision>
  <cp:lastPrinted>2016-12-09T11:24:00Z</cp:lastPrinted>
  <dcterms:created xsi:type="dcterms:W3CDTF">2017-06-23T13:37:00Z</dcterms:created>
  <dcterms:modified xsi:type="dcterms:W3CDTF">2018-06-14T13:40:00Z</dcterms:modified>
</cp:coreProperties>
</file>