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EA" w:rsidRPr="006159EA" w:rsidRDefault="006159EA" w:rsidP="006159EA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" w:eastAsia="bg-BG"/>
        </w:rPr>
        <w:t>НАРЕДБА № 15 ОТ 27 ЮНИ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</w:p>
    <w:p w:rsidR="006159EA" w:rsidRPr="006159EA" w:rsidRDefault="006159EA" w:rsidP="006159EA">
      <w:pPr>
        <w:spacing w:after="0" w:line="240" w:lineRule="auto"/>
        <w:ind w:firstLine="1155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Издадена от министъра на здравеопазването</w:t>
      </w:r>
    </w:p>
    <w:p w:rsidR="006159EA" w:rsidRPr="006159EA" w:rsidRDefault="006159EA" w:rsidP="006159EA">
      <w:pPr>
        <w:spacing w:before="100" w:beforeAutospacing="1" w:after="100" w:afterAutospacing="1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Обн. ДВ.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6159EA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57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14 Юли 2006г., изм.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6159EA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14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15 Февруари 2011г., изм.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и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доп.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6159EA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82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26 Октомври 2012г., изм.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6159EA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14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12 Февруари 2013г., изм.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и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доп.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ДВ.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>бр.</w:t>
      </w:r>
      <w:r w:rsidRPr="006159EA">
        <w:rPr>
          <w:rFonts w:ascii="Times New Roman" w:eastAsia="Times New Roman" w:hAnsi="Times New Roman" w:cs="Times New Roman"/>
          <w:b/>
          <w:bCs/>
          <w:color w:val="06669B"/>
          <w:sz w:val="24"/>
          <w:szCs w:val="24"/>
          <w:u w:val="single"/>
          <w:lang w:val="en" w:eastAsia="bg-BG"/>
        </w:rPr>
        <w:t>106</w:t>
      </w:r>
      <w:proofErr w:type="gramEnd"/>
      <w:r w:rsidRPr="006159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bg-BG"/>
        </w:rPr>
        <w:t xml:space="preserve"> от 10 Декември 2013г., </w:t>
      </w:r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изм. </w:t>
      </w:r>
      <w:proofErr w:type="gramStart"/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и</w:t>
      </w:r>
      <w:proofErr w:type="gramEnd"/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доп. </w:t>
      </w:r>
      <w:proofErr w:type="gramStart"/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ДВ.</w:t>
      </w:r>
      <w:proofErr w:type="gramEnd"/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>бр.87</w:t>
      </w:r>
      <w:proofErr w:type="gramEnd"/>
      <w:r w:rsidRPr="006159EA">
        <w:rPr>
          <w:rFonts w:ascii="Times New Roman" w:eastAsia="Times New Roman" w:hAnsi="Times New Roman" w:cs="Times New Roman"/>
          <w:b/>
          <w:bCs/>
          <w:i/>
          <w:iCs/>
          <w:color w:val="0086C6"/>
          <w:sz w:val="24"/>
          <w:szCs w:val="24"/>
          <w:lang w:val="en" w:eastAsia="bg-BG"/>
        </w:rPr>
        <w:t xml:space="preserve"> от 31 Октомври 2017г.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С тази наредба се определят здравните изисквания към лицата, работещи във: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детските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заведения (детски ясли и детски градини) и специализираните заведения за отглеждане, пребиваване и възпитание на деца;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специализираните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инсти</w:t>
      </w:r>
      <w:bookmarkStart w:id="0" w:name="_GoBack"/>
      <w:bookmarkEnd w:id="0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туции за възрастни;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водоснабдителните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съоръжения и обекти - помпени и пречиствателни станции, резервоари, хлораторни, водопроводни мрежи (отнася се за лицата, които при ремонтни и аварийни дейности имат пряк контакт с питейната вода) и санитарно-охранителни зони на водоизточниците;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предприятията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(обекти), които произвеждат и/или търгуват с храни;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5.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бръснарските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фризьорските и козметичните салони.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Здравните изисквания по ал.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 включват извършване на предварителни и периодични медицински прегледи и изследвания.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Здравните изисквания към лицата по ал.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 са задължителни и при неспазването им лицата не се допускат на работа.</w:t>
      </w:r>
      <w:proofErr w:type="gramEnd"/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2.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Извършените предварителни и периодични медицински прегледи и изследвания се регистрират в лична здравна книжка на лицето съгласно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(2) Личните здравни книжки се съхраняват в обекта, в който лицето работи, и се представят за проверка при поискване от контролните органи.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Провеждането на предварителните и периодичните медицински прегледи и изследвания и редовността на здравните книжки са задължение както на всеки постъпващ на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работа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така и на съответния работодател.</w:t>
      </w:r>
      <w:proofErr w:type="gramEnd"/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3.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Предварителните медицински прегледи и изследвания се провеждат преди постъпване на работа и включват: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доп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преглед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 общопрактикуващ лекар (ОПЛ) или от лекар специалист по вътрешни болести от лечебно заведение за извънболнична помощ - за лицата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бактериологично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изследване за носителство на шигели, салмонели, ентеропатогенни Ешерихия коли и коремнотифно носителство - за лицата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1, ал.1, т. 1, 2, 3 и 4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изследвания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 чревни хелминти и протозои - за лицата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1, т. 1, 2, 3 и 4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(нова - ДВ, бр. 82 от 2012 г., в сила от 26.10.2012 г.) провеждане на туберкулинов кожен тест на Манту - за лицата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>(2) При провеждане на прегледа по ал. 1, т. 1 лекарят е длъжен: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снеме анамнеза по отношение на прекараните заразни заболявания;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впише в личната здравна книжка прекараните заразни заболявания;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извърши щателен преглед на кожата, окосмените части и лигавиците;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съмнение за заразно заболяване (остро или хронично протичащо) незабавно да насочи лицето към съответния медицински специалист за извършване на необходимите лабораторни изследвания за уточняване на диагнозата;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5. да регистрира откритите болни от заразни болести и/или заразоносители съгласно </w:t>
      </w:r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 № 21 от 2005 г. за реда за регистрация, съобщаване и отчет на заразните болести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(ДВ, бр. 62 от 2005 г.).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4.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(Доп. - ДВ, бр. 87 от 2017 г., в сила от 01.12.2017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Резултатите от проведените предварителни медицински прегледи и изследвания се вписват в личната здравна книжка на лицето от медицинските специалисти, които са ги извършили, като за проведените изследвания се вписват дата и лабораторен номер и се полага печат на лечебното заведение, извършило изследването.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 проведен тест Манту се вписва датата на поставяне на ППД туберкулин и датата на отчитане на теста и се полага печат на медицинския специалист, извършил изследването.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След извършване на всички предварителни медицински прегледи и изследвания лекарят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1, т.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дава заключение за постъпване на работа, като вписва в личната здравна книжка на лицето "допуска се на работа" и поставя своя универсален идентификационен номер и печат.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(Отм. - ДВ, бр. 14 от 2011 г., в сила от 15.02.2011 г., нова - ДВ, бр. 106 от 2013 г., в сила от 01.01.2014 г., изм. и доп.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Всяка новоиздадена лична здравна книжка се заверява и регистрира в регионалната здравна инспекция по местонахождение на обекта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или по постоянен адрес на лицето след извършване на предварителните медицински прегледи и изследвания.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(4) (Нова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Заявяването на услугата по заверяване и вписване в регистъра на личните здравни книжки по ал.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 се извършва чрез попълване на заявление съгласно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1а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Заявлението може да бъде подадено на място в регионалната здравна инспекция или чрез лицензиран пощенски оператор.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(5) (Нова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Заверяват се само здравни книжки с правилно и четливо попълнени данни и резултати от проведени предварителни медицински прегледи и изследвания.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(6) (Отм. - ДВ, бр. 14 от 2011 г., в сила от 15.02.2011 г., нова - ДВ, бр. 106 от 2013 г., в сила от 01.01.2014 г., предишна ал. 4, 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Заверяването на личните здравни книжки по ал.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3 се извършва чрез поставяне на печат върху снимката и подпис на длъжностното лице, отговорно за заверката.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 заявяване на услугата на място в регионалната здравна инспекция заверката се извършва в рамките на същия работен ден.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(7) (Нова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Заверената здравна книжка може да бъде получена на място в регионалната здравна инспекция, където е заявена, или на посочен точен адрес, в случай че е заявено получаване чрез лицензиран пощенски оператор.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(8) (Нова - ДВ, бр. 106 от 2013 г., в сила от 01.01.2014 г., предишна ал. 5, 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Заверените лични здравни книжки по ал.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6 се вписват в регистъра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5.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Периодичните медицински прегледи и изследвания включват: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и доп.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веднъж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годишно от датата на проведения първоначален преглед: преглед от лекаря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кожа, 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lastRenderedPageBreak/>
        <w:t xml:space="preserve">окосмени части на тялото и лигавици и преглед от дерматолог при съмнение за заразно заболяване - за всички лица, работещи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веднъж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годишно изследвания за чревни хелминти и протозои - за лицата, работещи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1, т. 1, 2, 3 и 4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(нова - ДВ, бр. 82 от 2012 г., в сила от 26.10.2012 г.) веднъж годишно бактериологично изследване за носителство на шигели, салмонели, ентеропатогенни Ешерихиа коли и коремнотифно носителство - за лицата, работещи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1, 2, 3 и 4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4. (нова - ДВ, бр. 82 от 2012 г., в сила от 26.10.2012 г., отм. - ДВ, бр. 14 от 2013 г., в сила от 12.02.2013 г.)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6.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(1) (Изм.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При извършване на преглед от лекаря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или друг лекар по повод на друго заболяване задължително се снема епидемиологична анамнеза за заразни заболявания.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 съмнение за заразно заболяване задължително се извършват консултация със специалисти по инфекциозни болести, медицинска паразитология и лабораторни изследвания.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14 от 2011 г., в сила от 15.02.2011 г., 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По епидемични показания или по преценка на лекаря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периодичните прегледи могат да се включат и допълнителни изследвания.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(3) (Изм.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Резултатите от проведените периодични прегледи и изследвания се записват в личната здравна книжка на лицето от медицинските специалисти, които са ги извършили.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След приключване на периодичния преглед лекарят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3,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т.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дава заключение допуска се на работа.</w:t>
      </w:r>
      <w:proofErr w:type="gramEnd"/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7.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(Изм. - ДВ, бр. 82 от 2012 г., в сила от 26.10.2012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Подлежат на временно отстраняване от работа лицата, работещи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за които при периодичния медицински преглед или при преглед или изследване по друг повод се установи съмнение за заразно заболяване и/или положителен резултат от изследванията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5, т. 2 и 3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както и при диагностициране на следните заболявания: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1. (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остри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заразни заболявания, вкл.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диарии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неизяснена етиология;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възпалителни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процеси на очите от заразен произход;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гнойни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риносинуити, остри ангини и тонзилити;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гнойни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бронхити;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5.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активна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форма на туберкулоза на белите дробове с бацилоотделяне и/или с наклонност към прогресиране (пресни инфилтрати, пресни разсейки, вкл. без находка на туберкулозни бактерии в храчките);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6.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анална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фистула;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7. (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незаразни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болести, разположени по откритите части на тялото (екзема и др.), само за работещи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1, т. 5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8.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краста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епидермофития и други заразни болести по кожата;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9.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гнойни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заболявания на кожата;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10.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сифилис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заразния период, остра гонорея, мек шанкър;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актиномикоза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разязвявания или фистули на откритите части на тялото;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протозоози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контактни хелминтози.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8.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(Доп.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Всяко лице, работещо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е длъжно да поддържа добра лична хигиена и незабавно да уведоми прекия си ръководител и при: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поставена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диагноза на заболяване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7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признаци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на стомашно-чревно разстройство;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3.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възпалително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заболяване на горните дихателни пътища;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4.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възпалително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заболяване на кожата;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5.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нараняване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получено по време на работа;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6.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заболели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от заразни болести членове на семейството му;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7.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контакт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 други лица, заболели от заразни болести.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9.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Ръководителите на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са длъжни: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временно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да отстранят незабавно от работа лицата със симптоми на заболяванията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 7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;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2. (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изм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допуснат на работа след преболедуване от заболяванията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чл.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7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само лица със заключение в здравната книжка "допуска се на работа", дадено от ОПЛ или лекар специалист по вътрешни болести от лечебно заведение за извънболнична помощ.</w:t>
      </w:r>
      <w:proofErr w:type="gramEnd"/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10.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Лице, което идва на работа от друг обект, не подлежи на предварителен медицински преглед и изследване, ако от последния извършен медицински преглед не е изтекла една година и в здравната му книжка са нанесени отрицателни резултати от проведените изследвания.</w:t>
      </w:r>
      <w:proofErr w:type="gramEnd"/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Чл. 11.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(Нов - ДВ, бр. 106 от 2013 г., в сила от 01.01.2014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(1) В регионалната здравна инспекция се води регистър на новоиздадени лични здравни книжки съгласно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приложение № 2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(2) (Изм. - ДВ, бр. 87 от 2017 г., в сила от 31.10.2017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Директорът на регионалната здравна инспекция определя със заповед длъжностните лица, които извършват заверката на личните здравни книжки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4,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6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вписването на заверените лични здравни книжки в регистъра по ал.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1.</w:t>
      </w:r>
    </w:p>
    <w:p w:rsidR="006159EA" w:rsidRP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before="100" w:beforeAutospacing="1" w:after="24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bg-BG"/>
        </w:rPr>
        <w:t>Допълнителни разпоредби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 смисъла на тази наредба "</w:t>
      </w:r>
      <w:r w:rsidRPr="006159EA">
        <w:rPr>
          <w:rFonts w:ascii="Times New Roman" w:eastAsia="Times New Roman" w:hAnsi="Times New Roman" w:cs="Times New Roman"/>
          <w:color w:val="840084"/>
          <w:sz w:val="24"/>
          <w:szCs w:val="24"/>
          <w:u w:val="single"/>
          <w:lang w:val="en" w:eastAsia="bg-BG"/>
        </w:rPr>
        <w:t>работещи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" са всички лица, които работят по трудови или граждански договори в обектите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6159EA" w:rsidRPr="006159EA" w:rsidRDefault="006159EA" w:rsidP="006159EA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before="100" w:beforeAutospacing="1" w:after="26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Заключителни разпоредби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2.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Тази наредба се издава на основание </w:t>
      </w:r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34, ал.</w:t>
      </w:r>
      <w:proofErr w:type="gramEnd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3 от Закона за здравето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3. (Изм. - ДВ, бр. 14 от 2011 г., в сила от 15.02.2011 г.)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Контролът по изпълнението на наредбата се възлага на регионалните здравни инспекции.</w:t>
      </w:r>
      <w:proofErr w:type="gramEnd"/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4.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Тази наредба отменя </w:t>
      </w:r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 № 53 за медицинските прегледи на постъпващите и работещите в хранителните, комуналните обекти и здравните заведения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(ДВ, бр. 8 от 1979 г.)</w:t>
      </w:r>
      <w:proofErr w:type="gramEnd"/>
    </w:p>
    <w:p w:rsidR="006159EA" w:rsidRPr="006159EA" w:rsidRDefault="006159EA" w:rsidP="006159EA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Заключителни разпоредби</w:t>
      </w: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НАРЕДБА ЗА ИЗМЕНЕНИЕ И ДОПЪЛНЕНИЕ НА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ИНСПЕКЦИИ ЗА ОПАЗВАНЕ И КОНТРОЛ НА ОБЩЕСТВЕНОТО ЗДРАВЕ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14 ОТ 2011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15.02.2011 Г.)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21.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Наредбата влиза в сила от деня на обнародването ѝ в "Държавен вестник" с изключение на </w:t>
      </w:r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§ 5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който влиза в сила от 01.07.2011 г.</w:t>
      </w:r>
      <w:proofErr w:type="gramEnd"/>
    </w:p>
    <w:p w:rsidR="006159EA" w:rsidRPr="006159EA" w:rsidRDefault="006159EA" w:rsidP="006159EA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Заключителни разпоредби</w:t>
      </w: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НАРЕДБА ЗА ИЗМЕНЕНИЕ И ДОПЪЛНЕНИЕ НА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82 ОТ 2012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26.10.2012 Г.)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4. </w:t>
      </w:r>
      <w:proofErr w:type="gramStart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Наредбата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влиза в сила от деня на обнародването ѝ в "Държавен вестник".</w:t>
      </w:r>
      <w:proofErr w:type="gramEnd"/>
    </w:p>
    <w:p w:rsidR="006159EA" w:rsidRPr="006159EA" w:rsidRDefault="006159EA" w:rsidP="006159EA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Заключителни разпоредби</w:t>
      </w: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НАРЕДБА ЗА ИЗМЕНЕНИЕ НА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14 ОТ 2013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12.02.2013 Г.)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2. </w:t>
      </w:r>
      <w:proofErr w:type="gramStart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Наредбата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влиза в сила от деня на обнародването ѝ в "Държавен вестник".</w:t>
      </w:r>
      <w:proofErr w:type="gramEnd"/>
    </w:p>
    <w:p w:rsidR="006159EA" w:rsidRPr="006159EA" w:rsidRDefault="006159EA" w:rsidP="006159EA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Преходни и Заключителни разпоредби</w:t>
      </w: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НАРЕДБА ЗА ИЗМЕНЕНИЕ И ДОПЪЛНЕНИЕ НА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106 ОТ 2013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01.01.2014 Г.)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5.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Личните здравни книжки, издадени преди влизането в сила на наредбата, се заверяват и регистрират по реда на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4,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4 и 5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след извършване на съответните периодични медицински прегледи и изследвания по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5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6. </w:t>
      </w:r>
      <w:proofErr w:type="gramStart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Наредбата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влиза в сила от 1.01.2014 г.</w:t>
      </w:r>
      <w:proofErr w:type="gramEnd"/>
    </w:p>
    <w:p w:rsidR="006159EA" w:rsidRPr="006159EA" w:rsidRDefault="006159EA" w:rsidP="006159EA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</w:pP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t>Заключителни разпоредби</w:t>
      </w:r>
      <w:r w:rsidRPr="00615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" w:eastAsia="bg-BG"/>
        </w:rPr>
        <w:br/>
        <w:t>КЪМ НАРЕДБА ЗА ИЗМЕНЕНИЕ И ДОПЪЛНЕНИЕ НА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(ОБН.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</w:t>
      </w:r>
    </w:p>
    <w:p w:rsidR="006159EA" w:rsidRPr="006159EA" w:rsidRDefault="006159EA" w:rsidP="006159EA">
      <w:pPr>
        <w:spacing w:after="15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§ 12. </w:t>
      </w:r>
      <w:proofErr w:type="gramStart"/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Наредбата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влиза в сила от деня на обнародването ѝ в "Държавен вестник" с изключение на </w:t>
      </w:r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§ 2, т. 1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r w:rsidRPr="006159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bg-BG"/>
        </w:rPr>
        <w:t>§ 9</w:t>
      </w: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, които влизат в сила един месец след влизането в сила на наредбата.</w:t>
      </w:r>
      <w:proofErr w:type="gramEnd"/>
    </w:p>
    <w:p w:rsid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Default="009A09F4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Pr="009A09F4" w:rsidRDefault="009A09F4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Приложение № 1 към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2,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(Изм. - ДВ, бр. 14 от 2011 г., в сила от 15.02.2011 г., изм. - ДВ, бр. 106 от 2013 г., в сила от 01.01.2014 г., изм. - ДВ, бр. 87 от 2017 г., в сила от 01.12.2017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61"/>
        <w:gridCol w:w="354"/>
        <w:gridCol w:w="285"/>
        <w:gridCol w:w="255"/>
        <w:gridCol w:w="255"/>
        <w:gridCol w:w="75"/>
        <w:gridCol w:w="150"/>
        <w:gridCol w:w="30"/>
        <w:gridCol w:w="255"/>
        <w:gridCol w:w="255"/>
        <w:gridCol w:w="25"/>
        <w:gridCol w:w="230"/>
        <w:gridCol w:w="255"/>
        <w:gridCol w:w="255"/>
        <w:gridCol w:w="255"/>
        <w:gridCol w:w="424"/>
        <w:gridCol w:w="282"/>
        <w:gridCol w:w="14"/>
        <w:gridCol w:w="15"/>
        <w:gridCol w:w="9"/>
        <w:gridCol w:w="32"/>
        <w:gridCol w:w="14"/>
      </w:tblGrid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МИНИСТЕРСТВО НА ЗДРАВЕОПАЗВАНЕТО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РЕГИОНАЛНА ЗДРАВНА ИНСПЕКЦИЯ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...............................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ЗДРАВНА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КНИЖКА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лицева страна на корицата</w:t>
            </w:r>
          </w:p>
        </w:tc>
      </w:tr>
      <w:tr w:rsidR="006159EA" w:rsidRPr="006159EA" w:rsidTr="006159EA">
        <w:trPr>
          <w:gridAfter w:val="3"/>
          <w:wAfter w:w="55" w:type="dxa"/>
        </w:trPr>
        <w:tc>
          <w:tcPr>
            <w:tcW w:w="537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  <w:hidden/>
        </w:trPr>
        <w:tc>
          <w:tcPr>
            <w:tcW w:w="5341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val="en" w:eastAsia="bg-BG"/>
              </w:rPr>
              <w:t>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534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9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снимка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534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печат на РЗИ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534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534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541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</w:tr>
      <w:tr w:rsidR="006159EA" w:rsidRPr="006159EA" w:rsidTr="009A09F4">
        <w:trPr>
          <w:gridAfter w:val="1"/>
          <w:wAfter w:w="14" w:type="dxa"/>
        </w:trPr>
        <w:tc>
          <w:tcPr>
            <w:tcW w:w="541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rPr>
          <w:hidden/>
        </w:trPr>
        <w:tc>
          <w:tcPr>
            <w:tcW w:w="5355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val="en" w:eastAsia="bg-BG"/>
              </w:rPr>
              <w:t>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МИНИСТЕРСТВО НА ЗДРАВЕОПАЗВАНЕТО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РЕГИОНАЛНА ЗДРАВНА ИНСПЕКЦИЯ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ЗДРАВНА КНИЖКА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 .........................................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бащино .............................................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фамилно ...........................................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23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карта №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20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издадена на дата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МВР град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 лице: име, подпис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9A09F4">
        <w:tc>
          <w:tcPr>
            <w:tcW w:w="5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стр.</w:t>
            </w:r>
          </w:p>
        </w:tc>
        <w:tc>
          <w:tcPr>
            <w:tcW w:w="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5379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ПРОМЕНИ В СЛУЖЕБНОТО ПОЛОЖЕНИЕ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5379" w:type="dxa"/>
            <w:gridSpan w:val="2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Месторабота: адрес</w:t>
            </w:r>
          </w:p>
        </w:tc>
        <w:tc>
          <w:tcPr>
            <w:tcW w:w="19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5379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rPr>
          <w:gridAfter w:val="2"/>
          <w:wAfter w:w="46" w:type="dxa"/>
        </w:trPr>
        <w:tc>
          <w:tcPr>
            <w:tcW w:w="5379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стр.</w:t>
            </w:r>
          </w:p>
        </w:tc>
      </w:tr>
    </w:tbl>
    <w:p w:rsidR="006159EA" w:rsidRP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</w:tblGrid>
      <w:tr w:rsidR="006159EA" w:rsidRPr="006159EA" w:rsidTr="006159EA">
        <w:tc>
          <w:tcPr>
            <w:tcW w:w="6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Предварителен преглед при постъпване на работа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Здравен статус: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дата, 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Бактериологично изследване: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дата, лабораторен номер,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Паразитологично изследване: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дата, лабораторен номер,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Туберкулинов кожен тест Манту: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поставяне на ППД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туберкулин, 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отчитане на пробата,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Специализиран преглед: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ЗАКЛЮЧЕНИЕ: ...........................................................................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дата, подпис и печат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                                    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 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име, фамилия</w:t>
            </w:r>
          </w:p>
        </w:tc>
      </w:tr>
      <w:tr w:rsidR="006159EA" w:rsidRPr="006159EA" w:rsidTr="006159EA"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стр. 4</w:t>
            </w:r>
          </w:p>
        </w:tc>
      </w:tr>
    </w:tbl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  <w:t> </w:t>
      </w:r>
    </w:p>
    <w:p w:rsid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Default="009A09F4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Pr="009A09F4" w:rsidRDefault="009A09F4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655"/>
        <w:gridCol w:w="870"/>
        <w:gridCol w:w="1815"/>
        <w:gridCol w:w="70"/>
      </w:tblGrid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Периодични прегледи: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прегледа ........................................................................................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важи до една година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Здравен статус: 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и печат, дата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фамилия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Паразитологично изследване: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фамилия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Други прегледи и изследвания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ЗАКЛЮЧЕНИЕ: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Общопрактикуващ лекар 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УИН, подпис, печат, дата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фамилия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5 - 13 стр.</w:t>
            </w:r>
          </w:p>
        </w:tc>
      </w:tr>
      <w:tr w:rsidR="006159EA" w:rsidRPr="006159EA" w:rsidTr="006159EA"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159EA" w:rsidRP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</w:tblGrid>
      <w:tr w:rsidR="006159EA" w:rsidRPr="006159EA" w:rsidTr="006159EA"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Прекарани заразни заболявания: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6159EA" w:rsidRPr="006159EA" w:rsidTr="006159EA"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6159EA" w:rsidRP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" w:eastAsia="bg-BG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</w:tblGrid>
      <w:tr w:rsidR="006159EA" w:rsidRPr="006159EA" w:rsidTr="006159E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159EA" w:rsidRPr="006159EA" w:rsidTr="006159EA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стр. 14 - 16</w:t>
            </w:r>
          </w:p>
        </w:tc>
      </w:tr>
    </w:tbl>
    <w:p w:rsid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Default="009A09F4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Default="009A09F4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09F4" w:rsidRPr="009A09F4" w:rsidRDefault="009A09F4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Приложение № 1а към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4,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4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(Ново - ДВ, бр. 87 от 2017 г., в сила от 31.10.2017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6"/>
      </w:tblGrid>
      <w:tr w:rsidR="006159EA" w:rsidRPr="006159EA" w:rsidTr="009A09F4"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ДИРЕКТОРА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РЗИ ................................</w:t>
            </w:r>
          </w:p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……………………………………………………………………………………........……..,</w:t>
            </w:r>
          </w:p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 адрес: гр./с. …………………………………………………………….......………,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…………………………………………………………………………….......……….,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ж.к./ ул. ............................................................................................. № …………….......……..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бл. …………......., вх. ........................., ап. .........................., тел. …………………........……,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……………………………………………………………………………….........……….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Моля, да бъде заверена и вписана в регистъра по </w:t>
            </w:r>
            <w:r w:rsidRPr="006159EA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u w:val="single"/>
                <w:lang w:eastAsia="bg-BG"/>
              </w:rPr>
              <w:t>чл. 11, ал. 1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ми здравна книжка.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Здравната книжка ми е необходима за постъпване на работа в ………….........…………..,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            наименование на обекта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……………………………………………………………………......…………………………</w:t>
            </w:r>
          </w:p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адрес на обекта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заверената ми здравна книжка да бъде получена: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………………………......……………….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…………………………………………………………………………………......……………,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за моя сметка, платими при получаването </w:t>
            </w:r>
            <w:r w:rsidRPr="006159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ѝ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 при Регионална здравна инспекция ………………………………………………………………………….......................…………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Изразявам своето съгласие Регионалната здравна инспекция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                                                                                                Подпис:</w:t>
            </w:r>
          </w:p>
          <w:p w:rsidR="006159EA" w:rsidRPr="006159EA" w:rsidRDefault="006159EA" w:rsidP="006159E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.....................                                                                              .....................</w:t>
            </w:r>
          </w:p>
        </w:tc>
      </w:tr>
    </w:tbl>
    <w:p w:rsidR="006159EA" w:rsidRPr="006159EA" w:rsidRDefault="006159EA" w:rsidP="006159E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Приложение № 2 към </w:t>
      </w:r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чл.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>11, ал.</w:t>
      </w:r>
      <w:proofErr w:type="gramEnd"/>
      <w:r w:rsidRPr="006159EA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 w:eastAsia="bg-BG"/>
        </w:rPr>
        <w:t xml:space="preserve"> 1</w:t>
      </w: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6159EA" w:rsidRPr="006159EA" w:rsidRDefault="006159EA" w:rsidP="006159EA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(Предишно Приложение № 2 към чл. 4, ал. 4 отм.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14 от 2011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15.02.2011 г., ново - ДВ, бр. 106 от 2013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01.01.2014 г., изм.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- ДВ, бр.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87 от 2017 </w:t>
      </w:r>
      <w:proofErr w:type="gramStart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г.,</w:t>
      </w:r>
      <w:proofErr w:type="gramEnd"/>
      <w:r w:rsidRPr="006159E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в сила от 31.10.2017 г.)</w:t>
      </w:r>
    </w:p>
    <w:p w:rsidR="006159EA" w:rsidRPr="006159EA" w:rsidRDefault="006159EA" w:rsidP="006159EA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55"/>
        <w:gridCol w:w="555"/>
        <w:gridCol w:w="1455"/>
        <w:gridCol w:w="1755"/>
        <w:gridCol w:w="1155"/>
      </w:tblGrid>
      <w:tr w:rsidR="006159EA" w:rsidRPr="006159EA" w:rsidTr="006159E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лицето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Месторабота, адрес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УИН и фамилия на лекаря, дал заключението за постъпване на работа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заверката в РЗИ</w:t>
            </w:r>
          </w:p>
        </w:tc>
      </w:tr>
      <w:tr w:rsidR="006159EA" w:rsidRPr="006159EA" w:rsidTr="006159EA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159EA" w:rsidRPr="006159EA" w:rsidRDefault="006159EA" w:rsidP="006159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159EA" w:rsidRPr="006159EA" w:rsidRDefault="006159EA" w:rsidP="006159EA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BE7FC3" w:rsidRDefault="00BE7FC3"/>
    <w:sectPr w:rsidR="00BE7FC3" w:rsidSect="006159EA"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A"/>
    <w:rsid w:val="001B6F34"/>
    <w:rsid w:val="004C5DB9"/>
    <w:rsid w:val="006159EA"/>
    <w:rsid w:val="00632A68"/>
    <w:rsid w:val="009A09F4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17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3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0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9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</cp:revision>
  <cp:lastPrinted>2017-11-01T08:19:00Z</cp:lastPrinted>
  <dcterms:created xsi:type="dcterms:W3CDTF">2017-11-01T09:01:00Z</dcterms:created>
  <dcterms:modified xsi:type="dcterms:W3CDTF">2017-11-01T09:01:00Z</dcterms:modified>
</cp:coreProperties>
</file>