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C1" w:rsidRPr="00A341F5" w:rsidRDefault="000C3EEF" w:rsidP="00FF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ДОКЛАД</w:t>
      </w:r>
    </w:p>
    <w:p w:rsidR="000C3EEF" w:rsidRDefault="000C3EEF" w:rsidP="00FF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ЗА КАЧЕСТВОТО НА ВОДАТА, ПРЕДНАЗНАЧЕНА </w:t>
      </w:r>
    </w:p>
    <w:p w:rsidR="000C3EEF" w:rsidRDefault="000C3EEF" w:rsidP="00FF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ЗА ПИТЕЙНО-БИТОВИ ЦЕЛИ НА ТЕРИТОРИЯТА </w:t>
      </w:r>
    </w:p>
    <w:p w:rsidR="00FF29C1" w:rsidRPr="00A341F5" w:rsidRDefault="000C3EEF" w:rsidP="00FF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НА ОБЛАСТ ПЛЕВЕН ЗА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A341F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Г.</w:t>
      </w:r>
    </w:p>
    <w:p w:rsidR="00FF29C1" w:rsidRPr="00A341F5" w:rsidRDefault="00FF29C1" w:rsidP="00FF29C1">
      <w:pPr>
        <w:widowControl w:val="0"/>
        <w:spacing w:after="0" w:line="240" w:lineRule="auto"/>
        <w:ind w:right="119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F29C1" w:rsidRPr="00D75477" w:rsidRDefault="00FF29C1" w:rsidP="00FF29C1">
      <w:pPr>
        <w:tabs>
          <w:tab w:val="left" w:pos="851"/>
        </w:tabs>
        <w:spacing w:after="0" w:line="240" w:lineRule="auto"/>
        <w:ind w:left="-22" w:hanging="5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341F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Водоснабдяването на населението на област Плевен с вода за питейно – битови цели се осъществява от 437 централни водоизточника, а броят на водоснабдителните обекти и съоръжения е 326, като на територията, контролирана от инспекцията няма повърхностни водоизточници. Всички са регистрирани по реда на Наредба №9/2005 година на МЗ. На територията, контролирана от инспекцията няма изградени и функциониращи пречиствателни съоръжения за питейни води.</w:t>
      </w:r>
    </w:p>
    <w:p w:rsidR="00FF29C1" w:rsidRPr="00D75477" w:rsidRDefault="00FF29C1" w:rsidP="00FF29C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РЗИ – Плевен извършва непрекъснато наблюдение и контролен мониторинг на качеството на питейната вода, подавана за нуждите на населението в областта. Броят на пунктовете, честотата и вида на мониторинга са съобразени с изискванията на Наредба №9/2001 година на МЗ за качеството на водата, предназначена за питейно – битови цели. От 01.01.2019</w:t>
      </w:r>
      <w:r w:rsidR="005D27B8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година</w:t>
      </w:r>
      <w:r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 територията на областта има само един оператор на ВиК системи – </w:t>
      </w:r>
      <w:r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„ВиК Плевен“ ЕООД, гр. Плевен. Водоснабдителното дружество разработи програма за мониторинг на питейната вода в Плевенска област за 20</w:t>
      </w:r>
      <w:r w:rsidR="005D27B8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20</w:t>
      </w:r>
      <w:r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година и същата беше съгласувана с инспекцията в изпълнение изискванията на чл. 9, ал. 1 на Наредба № 9/2001 година на МЗ. </w:t>
      </w:r>
      <w:r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представената мониторингова програма са определени общо 105 зони на водоснабдяване. От тях 6 зони са с обем на разпределена вода над 1000 куб.м. в денонощие </w:t>
      </w:r>
      <w:r w:rsidR="00D34E03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D34E03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брой население в зоната на водоснабдяване на базата на консумация 200 </w:t>
      </w:r>
      <w:r w:rsidR="00D34E03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D34E03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/жител дневно</w:t>
      </w:r>
      <w:r w:rsidR="00D34E03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D34E03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и 99 зони са с обем на разпределена вода под 1000 куб.м. Съгласно изискванията на МЗ, са категоризирани малки зони, като в категория 1 попадат </w:t>
      </w:r>
      <w:r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39 </w:t>
      </w:r>
      <w:r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зони, в категория 2 – </w:t>
      </w:r>
      <w:r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40</w:t>
      </w:r>
      <w:r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зони, в категория 3 – 1</w:t>
      </w:r>
      <w:r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зони и в категория 4 – </w:t>
      </w:r>
      <w:r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зони.</w:t>
      </w:r>
    </w:p>
    <w:p w:rsidR="00FF29C1" w:rsidRPr="00D75477" w:rsidRDefault="00FF29C1" w:rsidP="00FF2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  <w:t>През 20</w:t>
      </w:r>
      <w:r w:rsidR="00D34E03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20</w:t>
      </w:r>
      <w:r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година пробонабирането от водопроводната мрежа на област Плевен се извърши от 274 пункта съгласно предварително изготвен график, като част от тях </w:t>
      </w:r>
      <w:r w:rsidR="00D34E03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по предложение на </w:t>
      </w:r>
      <w:r w:rsidR="00D34E03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„ВиК Плевен“ ЕООД</w:t>
      </w:r>
      <w:r w:rsidR="00D34E03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бяха променени и актуализирани.</w:t>
      </w:r>
    </w:p>
    <w:p w:rsidR="00151318" w:rsidRPr="00D75477" w:rsidRDefault="00FF29C1" w:rsidP="00434B1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През отчетния период от страна на „ВиК Плевен“ ЕООД </w:t>
      </w:r>
      <w:r w:rsidR="00151318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поради повишена консумация на вода </w:t>
      </w:r>
      <w:r w:rsidR="00434B10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през летните месеци </w:t>
      </w:r>
      <w:r w:rsidR="00151318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употребата и не по предназначение, </w:t>
      </w:r>
      <w:r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 да е издавана заповед от местните власти беше въведено режимно водоснабдяване в следните общини и населени места: </w:t>
      </w:r>
      <w:r w:rsidR="00151318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Община Долна Митрополия – с. Ставерци, с. Гостиля, с. Брегаре</w:t>
      </w:r>
      <w:r w:rsidR="00434B10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r w:rsidR="00151318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Община Искър – с. Долни Луковит</w:t>
      </w:r>
      <w:r w:rsidR="00434B10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r w:rsidR="00151318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Община Никопол – с. Любеново</w:t>
      </w:r>
      <w:r w:rsidR="001755BF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с. Муселиево</w:t>
      </w:r>
      <w:r w:rsidR="00434B10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34B10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51318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Община Гулянци – с. Сомовит</w:t>
      </w:r>
      <w:r w:rsidR="00434B10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F29C1" w:rsidRPr="00D75477" w:rsidRDefault="00434B10" w:rsidP="001513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F29C1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въведения режим МЗ беше информирано </w:t>
      </w:r>
      <w:r w:rsidR="00823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</w:t>
      </w:r>
      <w:r w:rsidR="00FF29C1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чрез изготвяните </w:t>
      </w:r>
      <w:r w:rsidR="00823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месечни </w:t>
      </w:r>
      <w:r w:rsidR="00FF29C1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справки за качеств</w:t>
      </w:r>
      <w:r w:rsidR="00151318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ата </w:t>
      </w:r>
      <w:r w:rsidR="00FF29C1" w:rsidRPr="00D75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питейната вода, подавана за населението на област Плевен.</w:t>
      </w:r>
    </w:p>
    <w:p w:rsidR="00FF29C1" w:rsidRPr="0095540C" w:rsidRDefault="00FF29C1" w:rsidP="00FF2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F5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955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През отчетната година е изпълнен мониторингът на питейната вода в областта, съгласно представената мониторингова програма на водоснабдителното дружество и осъществения от страна на инспекцията контролен мониторинг в размер на 100% </w:t>
      </w:r>
      <w:r w:rsidRPr="00955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Pr="00955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изключение мониторинг</w:t>
      </w:r>
      <w:r w:rsidR="00823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55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радиологични показатели и по показател „бромати“, тъй като анализите се </w:t>
      </w:r>
      <w:r w:rsidRPr="00955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извършват в РЗИ – Враца и Столична РЗИ по предварително изготвен график и в определен обем). При план 52</w:t>
      </w:r>
      <w:r w:rsidR="0095540C" w:rsidRPr="00955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955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проби, изпълнението е </w:t>
      </w:r>
      <w:r w:rsidR="0095540C" w:rsidRPr="00955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530</w:t>
      </w:r>
      <w:r w:rsidRPr="00955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20</w:t>
      </w:r>
      <w:r w:rsidR="0095540C" w:rsidRPr="00955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955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година. По показателите на група А са проведени изпитвания на </w:t>
      </w:r>
      <w:r w:rsidR="0095540C" w:rsidRPr="00955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414</w:t>
      </w:r>
      <w:r w:rsidRPr="00955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проби, от които </w:t>
      </w:r>
      <w:r w:rsidR="0095540C" w:rsidRPr="00955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305</w:t>
      </w:r>
      <w:r w:rsidRPr="00955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отговарят на нормативните изисквания. Обхванати са с минимума показатели по Таблица А към Приложение №2, като за някои зони са включени и показатели, актуални за конкретния регион </w:t>
      </w:r>
      <w:r w:rsidRPr="00955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955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нитрати, хром, манган. По показателите на група Б са изследвани 11</w:t>
      </w:r>
      <w:r w:rsidR="0095540C" w:rsidRPr="00955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55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проби, от които 6</w:t>
      </w:r>
      <w:r w:rsidR="0095540C" w:rsidRPr="00955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55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55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съответстват на нормативните изисквания. Тук са обхванати с всички показатели по Приложение №1 на Наредба №9/2001 година за качеството на водата, предназначена за питейно </w:t>
      </w:r>
      <w:r w:rsidRPr="00955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Pr="00955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битови цели.</w:t>
      </w:r>
    </w:p>
    <w:p w:rsidR="00FF29C1" w:rsidRPr="00B422E5" w:rsidRDefault="0095540C" w:rsidP="0095540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ab/>
      </w:r>
      <w:r w:rsidR="00FF29C1" w:rsidRPr="00576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По показателите, мониторирани в питейните води от страна на инспекцията са извършени общо </w:t>
      </w:r>
      <w:r w:rsidR="00576121" w:rsidRPr="00576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12446</w:t>
      </w:r>
      <w:r w:rsidR="00FF29C1" w:rsidRPr="00576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изследвания, от които </w:t>
      </w:r>
      <w:r w:rsidR="00576121" w:rsidRPr="00576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12240 </w:t>
      </w:r>
      <w:r w:rsidR="00FF29C1" w:rsidRPr="00576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отговарят на изискванията на Наредба №9/2001</w:t>
      </w:r>
      <w:r w:rsidR="00576121" w:rsidRPr="00576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година на МЗ. Съответствието е 98,34%, при </w:t>
      </w:r>
      <w:r w:rsidR="00FF29C1" w:rsidRPr="00576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98,61% </w:t>
      </w:r>
      <w:r w:rsidR="00576121" w:rsidRPr="00576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 2019 година и 98,49% за 2018 година</w:t>
      </w:r>
      <w:r w:rsidR="00FF29C1" w:rsidRPr="00576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EE0DDC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FF29C1" w:rsidRPr="00576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Броят на изследванията по микробиологични показатели през годината е 1</w:t>
      </w:r>
      <w:r w:rsidR="00576121" w:rsidRPr="00576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778</w:t>
      </w:r>
      <w:r w:rsidR="00FF29C1" w:rsidRPr="00576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От тях </w:t>
      </w:r>
      <w:r w:rsidR="00576121" w:rsidRPr="00576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1753</w:t>
      </w:r>
      <w:r w:rsidR="00FF29C1" w:rsidRPr="00576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отговарят на Наредба №9/2001 година</w:t>
      </w:r>
      <w:r w:rsidR="00CD3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 МЗ</w:t>
      </w:r>
      <w:r w:rsidR="00FF29C1" w:rsidRPr="00576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FF29C1" w:rsidRPr="00EE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Съответствието е </w:t>
      </w:r>
      <w:r w:rsidR="00576121" w:rsidRPr="00EE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98,59%, при </w:t>
      </w:r>
      <w:r w:rsidR="00FF29C1" w:rsidRPr="00EE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98,58% </w:t>
      </w:r>
      <w:r w:rsidR="00EE0DDC" w:rsidRPr="00EE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 2019 година и</w:t>
      </w:r>
      <w:r w:rsidR="00FF29C1" w:rsidRPr="00EE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97,30% за 201</w:t>
      </w:r>
      <w:r w:rsidR="00EE0DDC" w:rsidRPr="00EE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8 година</w:t>
      </w:r>
      <w:r w:rsidR="00FF29C1" w:rsidRPr="00EE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 От анализите</w:t>
      </w:r>
      <w:r w:rsidR="00EE0DDC" w:rsidRPr="00EE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FF29C1" w:rsidRPr="00EE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E0DDC" w:rsidRPr="00EE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несъответстващи на изискванията</w:t>
      </w:r>
      <w:r w:rsidR="00FF29C1" w:rsidRPr="00EE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1</w:t>
      </w:r>
      <w:r w:rsidR="00EE0DDC" w:rsidRPr="00EE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FF29C1" w:rsidRPr="00EE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са по показател колиформи, </w:t>
      </w:r>
      <w:r w:rsidR="00EE0DDC" w:rsidRPr="00EE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FF29C1" w:rsidRPr="00EE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– по Е.коли, </w:t>
      </w:r>
      <w:r w:rsidR="00EE0DDC" w:rsidRPr="00EE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FF29C1" w:rsidRPr="00EE0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– по Ентерококи и 0 – по МЧ</w:t>
      </w:r>
      <w:r w:rsidR="00FF29C1" w:rsidRPr="00215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Несъответствието на питейната вода, определено само по здравнозначими микробиологични показатели е </w:t>
      </w:r>
      <w:r w:rsidR="002152D8" w:rsidRPr="00215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0,5%</w:t>
      </w:r>
      <w:r w:rsidR="00296847" w:rsidRPr="00215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152D8" w:rsidRPr="00215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(съответствие </w:t>
      </w:r>
      <w:r w:rsidR="002152D8" w:rsidRPr="00215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99,50%</w:t>
      </w:r>
      <w:r w:rsidR="002152D8" w:rsidRPr="00215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2152D8" w:rsidRPr="002152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</w:t>
      </w:r>
      <w:r w:rsidR="002152D8" w:rsidRPr="00215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F29C1" w:rsidRPr="00215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0,4% </w:t>
      </w:r>
      <w:r w:rsidR="002152D8" w:rsidRPr="00215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FF29C1" w:rsidRPr="00215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съответствие 99,60%</w:t>
      </w:r>
      <w:r w:rsidR="002152D8" w:rsidRPr="00215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FF29C1" w:rsidRPr="00215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152D8" w:rsidRPr="00215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за 2019 година и </w:t>
      </w:r>
      <w:r w:rsidR="00FF29C1" w:rsidRPr="00215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0,9% </w:t>
      </w:r>
      <w:r w:rsidR="002152D8" w:rsidRPr="00215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FF29C1" w:rsidRPr="00215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съответствие 99,10%</w:t>
      </w:r>
      <w:r w:rsidR="002152D8" w:rsidRPr="00215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FF29C1" w:rsidRPr="00215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за 2018 година.</w:t>
      </w:r>
      <w:r w:rsidR="00FF29C1" w:rsidRPr="00D75477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FF29C1" w:rsidRPr="00B42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Във всички случаи, </w:t>
      </w:r>
      <w:r w:rsidR="00FF29C1" w:rsidRPr="00B42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в</w:t>
      </w:r>
      <w:r w:rsidR="00FF29C1" w:rsidRPr="00B42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които е установено отклонение по микробиологични показатели, са взети съответните мерки от страна на служителите на отдела. Запазва се тенденцията за задържане на високия процент </w:t>
      </w:r>
      <w:r w:rsidR="002152D8" w:rsidRPr="00B42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FF29C1" w:rsidRPr="00B42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95% по СЗО</w:t>
      </w:r>
      <w:r w:rsidR="002152D8" w:rsidRPr="00B42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FF29C1" w:rsidRPr="00B42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 съответствие на питейната вода по микробиологични показатели. Това се дължи на подобряване методите на обеззаразяване с въвеждане на автоматично дозиране на дезинфектант в почти всички водоснабдителни системи, нови дезинфектанти с удължено освобождаване на хлор и засиления вътрешно – ведомствен контрол от страна на ръководството на вод</w:t>
      </w:r>
      <w:r w:rsidR="00823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оснабдителното дружество. За по – </w:t>
      </w:r>
      <w:r w:rsidR="00FF29C1" w:rsidRPr="00B42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добри резултати е необходимо повишаване на отговорността и квалификацията </w:t>
      </w:r>
      <w:proofErr w:type="gramStart"/>
      <w:r w:rsidR="00FF29C1" w:rsidRPr="00B42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 персонала</w:t>
      </w:r>
      <w:proofErr w:type="gramEnd"/>
      <w:r w:rsidR="00FF29C1" w:rsidRPr="00B42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пряко ангажиран с тази дейност.</w:t>
      </w:r>
    </w:p>
    <w:p w:rsidR="00FF29C1" w:rsidRDefault="00FF29C1" w:rsidP="00FF29C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460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По органолептични и химични показатели са извършени </w:t>
      </w:r>
      <w:r w:rsidR="004602CD" w:rsidRPr="00460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10668 </w:t>
      </w:r>
      <w:r w:rsidRPr="00460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изследвания. От тях </w:t>
      </w:r>
      <w:r w:rsidR="004602CD" w:rsidRPr="00460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10487</w:t>
      </w:r>
      <w:r w:rsidRPr="00460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изследвания отговарят на изискванията на Наредба 9/2001 година на МЗ. Съответствието е </w:t>
      </w:r>
      <w:r w:rsidR="004602CD" w:rsidRPr="00460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98,30%</w:t>
      </w:r>
      <w:r w:rsidR="00586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4602CD" w:rsidRPr="00460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при </w:t>
      </w:r>
      <w:r w:rsidRPr="00460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98,61% </w:t>
      </w:r>
      <w:r w:rsidR="004602CD" w:rsidRPr="00460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 2019 година и 98,72% за 2018 година</w:t>
      </w:r>
      <w:r w:rsidRPr="00460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0C3EEF" w:rsidRPr="004602CD" w:rsidRDefault="000C3EEF" w:rsidP="00FF29C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F29C1" w:rsidRPr="000C3EEF" w:rsidRDefault="00FF29C1" w:rsidP="00FF29C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От проведените анализи през отчетния период се установиха следните отклонения по конкретни показатели в качеството на питейните води</w:t>
      </w:r>
      <w:r w:rsidR="00AC20A0"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на територията на областта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:</w:t>
      </w:r>
    </w:p>
    <w:p w:rsidR="000C3EEF" w:rsidRPr="00FE1D17" w:rsidRDefault="000C3EEF" w:rsidP="00FF29C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166AE" w:rsidRPr="000C3EEF" w:rsidRDefault="00FF29C1" w:rsidP="00AC20A0">
      <w:pPr>
        <w:numPr>
          <w:ilvl w:val="0"/>
          <w:numId w:val="1"/>
        </w:numPr>
        <w:tabs>
          <w:tab w:val="clear" w:pos="360"/>
          <w:tab w:val="num" w:pos="993"/>
          <w:tab w:val="left" w:pos="1276"/>
        </w:tabs>
        <w:overflowPunct w:val="0"/>
        <w:autoSpaceDE w:val="0"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Несъответствия по </w:t>
      </w:r>
      <w:r w:rsidRPr="000C3E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микробиологични показатели</w:t>
      </w:r>
      <w:r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са установени в </w:t>
      </w:r>
      <w:r w:rsidR="001064D0" w:rsidRPr="00106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="001836CA" w:rsidRPr="00106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зони </w:t>
      </w:r>
      <w:r w:rsidR="001836CA"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водоснабдяване, включващи селата</w:t>
      </w:r>
      <w:r w:rsidR="001836CA"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:</w:t>
      </w:r>
      <w:r w:rsidR="001836CA"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с. Въбел, с. Горна Митрополия, с. Рупци, с. Петърница, </w:t>
      </w:r>
      <w:r w:rsidR="001836CA"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Горни Дъбник, с. Реселец, с. Бресте, с. Мечка, с. Коиловци, с. Горник, с. Каменец, с. Ракита, с. Трънчовица, с. Кулина вода</w:t>
      </w:r>
      <w:r w:rsidR="001836CA"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.</w:t>
      </w:r>
      <w:r w:rsidR="001836CA"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6CA"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Броят на зоните, в които са установени отклоненията по микробилогични показатели</w:t>
      </w:r>
      <w:r w:rsidR="001836CA"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 с </w:t>
      </w:r>
      <w:r w:rsidR="00106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 повече</w:t>
      </w:r>
      <w:r w:rsidR="001836CA"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6166AE"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установените през </w:t>
      </w:r>
      <w:r w:rsidR="001836CA"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2019 година </w:t>
      </w:r>
      <w:r w:rsidR="00506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11 зони </w:t>
      </w:r>
      <w:r w:rsidR="001836CA"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</w:t>
      </w:r>
      <w:r w:rsidR="00106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три </w:t>
      </w:r>
      <w:r w:rsidR="00C22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по-малко</w:t>
      </w:r>
      <w:r w:rsidR="001836CA"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836CA"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lastRenderedPageBreak/>
        <w:t>констатиран</w:t>
      </w:r>
      <w:r w:rsidR="001836CA"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</w:t>
      </w:r>
      <w:r w:rsidR="001836CA"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 през 201</w:t>
      </w:r>
      <w:r w:rsidR="001836CA"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1836CA"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г</w:t>
      </w:r>
      <w:r w:rsidR="001836CA"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одина</w:t>
      </w:r>
      <w:r w:rsidR="00C22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17 зони</w:t>
      </w:r>
      <w:r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. Отклоненията продължават да се установяват </w:t>
      </w:r>
      <w:r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предимно </w:t>
      </w:r>
      <w:r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в малки населени места с водоснабдителни системи без пречиствателни съоръжения, остарели и амортизирани водопроводни мрежи. Друга причина за несъответствията са констатирани</w:t>
      </w:r>
      <w:r w:rsidR="00FB3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</w:t>
      </w:r>
      <w:r w:rsidRPr="00616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 от страна на инспекцията пропуски от субективен характер в обеззаразяването на водата, преди подаването и на консуматорите.</w:t>
      </w:r>
    </w:p>
    <w:p w:rsidR="000C3EEF" w:rsidRPr="007F71C5" w:rsidRDefault="000C3EEF" w:rsidP="000C3EEF">
      <w:pPr>
        <w:tabs>
          <w:tab w:val="left" w:pos="1276"/>
        </w:tabs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F29C1" w:rsidRDefault="00FF29C1" w:rsidP="000C3EEF">
      <w:pPr>
        <w:numPr>
          <w:ilvl w:val="0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Несъответствия по показател</w:t>
      </w:r>
      <w:r w:rsidR="007F71C5"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и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0C3E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„мътност” и „цвят”</w:t>
      </w:r>
      <w:r w:rsidRPr="007F7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са установени в </w:t>
      </w:r>
      <w:r w:rsidR="00B339DF" w:rsidRPr="0062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16</w:t>
      </w:r>
      <w:r w:rsidRPr="0062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зони </w:t>
      </w:r>
      <w:r w:rsidRPr="007F7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 водоснабдяване, обхващащи населените места: </w:t>
      </w:r>
      <w:r w:rsidR="00AB4FEF" w:rsidRPr="007F7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гр. Плевен, гр. Червен бряг, </w:t>
      </w:r>
      <w:r w:rsidR="00170084" w:rsidRPr="007F7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</w:t>
      </w:r>
      <w:r w:rsidR="00AB4FEF" w:rsidRPr="007F7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Българене, с. Петърница, с. Рупци, с. Лозица – отклоненията са само по показател „мътност”, </w:t>
      </w:r>
      <w:r w:rsidR="00CE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а в </w:t>
      </w:r>
      <w:r w:rsidR="00AB4FEF" w:rsidRPr="007F7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Лазарово, с. Вър</w:t>
      </w:r>
      <w:r w:rsidR="007F7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бица, с. Буковлък, с. Бяла вода </w:t>
      </w:r>
      <w:r w:rsidR="00AB4FEF" w:rsidRPr="007F7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отклоненията са само по показател „цвят”. В гр. Левски, гр. Искър</w:t>
      </w:r>
      <w:r w:rsidR="0059203E" w:rsidRPr="007F7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с. Реселец, с. Ракита и с. Мечка е установено несъответствие и по двата органолептични показател</w:t>
      </w:r>
      <w:r w:rsidR="007C0B4B" w:rsidRPr="007F7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Pr="007F7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Констатираните отклонения по горецитираните показатели са </w:t>
      </w:r>
      <w:r w:rsidR="007F7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 </w:t>
      </w:r>
      <w:r w:rsidR="007F71C5" w:rsidRPr="007F7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4 зони </w:t>
      </w:r>
      <w:r w:rsidR="007F7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повече от несъответстващите </w:t>
      </w:r>
      <w:r w:rsidRPr="007F7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 201</w:t>
      </w:r>
      <w:r w:rsidR="007C0B4B" w:rsidRPr="007F7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9</w:t>
      </w:r>
      <w:r w:rsidRPr="007F7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година</w:t>
      </w:r>
      <w:r w:rsidR="00506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8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506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12 зони</w:t>
      </w:r>
      <w:r w:rsidRPr="007F7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C0B4B" w:rsidRPr="007F7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и с 10 зони повече </w:t>
      </w:r>
      <w:r w:rsidR="007F7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от установените за </w:t>
      </w:r>
      <w:r w:rsidR="007C0B4B" w:rsidRPr="007F7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2018</w:t>
      </w:r>
      <w:r w:rsidR="007F7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година</w:t>
      </w:r>
      <w:r w:rsidR="00F8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– 6 зони</w:t>
      </w:r>
      <w:r w:rsidRPr="007F7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 Несъответствията са с непостоянен характер и се отнасят за водоснабдителни системи, подаващи вода от повърхностно разположени водоизточници, за които няма изградени пречиствателни съоръжения, за населени места със стара и амортизирана водопроводна мрежа, както и след извършване на ремонтни дейности.</w:t>
      </w:r>
    </w:p>
    <w:p w:rsidR="000C3EEF" w:rsidRDefault="000C3EEF" w:rsidP="000C3EEF">
      <w:pPr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749B6" w:rsidRPr="000C3EEF" w:rsidRDefault="00FF29C1" w:rsidP="000C3EEF">
      <w:pPr>
        <w:pStyle w:val="a3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Несъответствия по показател </w:t>
      </w:r>
      <w:r w:rsidRPr="000C3E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„магнезий”</w:t>
      </w:r>
      <w:r w:rsidR="002749B6"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и </w:t>
      </w:r>
      <w:r w:rsidR="002749B6" w:rsidRPr="000C3E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„обща твърдост”</w:t>
      </w:r>
      <w:r w:rsidR="001064D0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r w:rsidR="00604D4A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20</w:t>
      </w:r>
      <w:r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зони на водоснабдяване са констатираните отклонения:</w:t>
      </w:r>
      <w:r w:rsidR="00BD6819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гр. Койнаре,</w:t>
      </w:r>
      <w:r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E7086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гр. Славяново, </w:t>
      </w:r>
      <w:r w:rsidR="00BD6819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Глава, с. Телиш, с. Катерица,</w:t>
      </w:r>
      <w:r w:rsidR="00604D4A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с. Искър, </w:t>
      </w:r>
      <w:r w:rsidR="00EE7086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Изгрев, с. Гиген, с. Одърне, с. Асеновци, с. Борислав, с. Градина, с. Сомовит, с. Драгаш войвода, с. Санадиново, с. Мечка, с. Коиловци, с. Върбица и с. Буковлък.</w:t>
      </w:r>
      <w:r w:rsidR="008C4AEE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Броят на зоните, в които са установени отклоненията </w:t>
      </w:r>
      <w:r w:rsidR="008C4AEE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 с </w:t>
      </w:r>
      <w:r w:rsidR="00007A60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 броя</w:t>
      </w:r>
      <w:r w:rsidR="008C4AEE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повече от установените през 2019 година</w:t>
      </w:r>
      <w:r w:rsidR="00007A60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12 зони</w:t>
      </w:r>
      <w:r w:rsidR="008C4AEE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 </w:t>
      </w:r>
      <w:r w:rsidR="00007A60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C4AEE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зон</w:t>
      </w:r>
      <w:r w:rsidR="00007A60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C4AEE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повече от</w:t>
      </w:r>
      <w:r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 констатиран</w:t>
      </w:r>
      <w:r w:rsidR="008C4AEE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ите</w:t>
      </w:r>
      <w:r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 през 201</w:t>
      </w:r>
      <w:r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г</w:t>
      </w:r>
      <w:r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одина</w:t>
      </w:r>
      <w:r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 – </w:t>
      </w:r>
      <w:r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 броя.</w:t>
      </w:r>
      <w:r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</w:t>
      </w:r>
      <w:r w:rsidR="00CA3EED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ези </w:t>
      </w:r>
      <w:r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показател</w:t>
      </w:r>
      <w:r w:rsidR="00CA3EED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участв</w:t>
      </w:r>
      <w:r w:rsidR="00CA3EED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 определянето на твърдостта на водата, като в част от населените места отклонения</w:t>
      </w:r>
      <w:r w:rsidR="008C4AEE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та </w:t>
      </w:r>
      <w:proofErr w:type="gramStart"/>
      <w:r w:rsidR="008C4AEE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 показателя</w:t>
      </w:r>
      <w:proofErr w:type="gramEnd"/>
      <w:r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C4AEE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са</w:t>
      </w:r>
      <w:r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 персистиращ характер.</w:t>
      </w:r>
    </w:p>
    <w:p w:rsidR="000C3EEF" w:rsidRPr="000C3EEF" w:rsidRDefault="000C3EEF" w:rsidP="000C3EEF">
      <w:pPr>
        <w:pStyle w:val="a3"/>
        <w:tabs>
          <w:tab w:val="left" w:pos="0"/>
        </w:tabs>
        <w:overflowPunct w:val="0"/>
        <w:autoSpaceDE w:val="0"/>
        <w:autoSpaceDN w:val="0"/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C4AEE" w:rsidRDefault="00FF29C1" w:rsidP="00F843F8">
      <w:pPr>
        <w:pStyle w:val="a3"/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Несъответствие по показател </w:t>
      </w:r>
      <w:r w:rsidRPr="000C3E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„манган”</w:t>
      </w:r>
      <w:r w:rsidRPr="00841E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84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е установено </w:t>
      </w:r>
      <w:r w:rsidR="008C4AEE" w:rsidRPr="0084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 две населени места от</w:t>
      </w:r>
      <w:r w:rsidRPr="0084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една групова зона на водоснабдяване – Зона</w:t>
      </w:r>
      <w:r w:rsidR="008C4AEE" w:rsidRPr="0084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№6 /гр. Гулянци и с. Шияково</w:t>
      </w:r>
      <w:r w:rsidRPr="0084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/. При направените проучвания </w:t>
      </w:r>
      <w:proofErr w:type="gramStart"/>
      <w:r w:rsidRPr="0084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 страна</w:t>
      </w:r>
      <w:proofErr w:type="gramEnd"/>
      <w:r w:rsidRPr="0084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 водоснабдителното дружество</w:t>
      </w:r>
      <w:r w:rsidR="008C4AEE" w:rsidRPr="0084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по разпореждане на инспекцията още през 201</w:t>
      </w:r>
      <w:r w:rsidR="00841E61" w:rsidRPr="0084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8C4AEE" w:rsidRPr="0084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година</w:t>
      </w:r>
      <w:r w:rsidRPr="0084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се установи, че отклонението има сезонен характер. Поради намаленото водно количество през летния сезон и повишеното потребление </w:t>
      </w:r>
      <w:proofErr w:type="gramStart"/>
      <w:r w:rsidRPr="0084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 вода</w:t>
      </w:r>
      <w:proofErr w:type="gramEnd"/>
      <w:r w:rsidRPr="0084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от населението, с цел избягване режимно водоподаване, „ВиК Плевен” ЕООД използва пълния капацитет на всички водовземни съоръжения от ВГ Крета /3 броя ШК/. Поради непостоянните показатели на съдържанието на манган във водата на някои от водоизточниците, </w:t>
      </w:r>
      <w:proofErr w:type="gramStart"/>
      <w:r w:rsidRPr="0084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 страна</w:t>
      </w:r>
      <w:proofErr w:type="gramEnd"/>
      <w:r w:rsidRPr="0084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 дружеството в мониторинговата програма за 202</w:t>
      </w:r>
      <w:r w:rsidR="00841E61" w:rsidRPr="0084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84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година и в разработения контролен план на инспекцията </w:t>
      </w:r>
      <w:r w:rsidR="00841E61" w:rsidRPr="0084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отново </w:t>
      </w:r>
      <w:r w:rsidRPr="00841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 предвиден учестен мониторинг на показателя.</w:t>
      </w:r>
    </w:p>
    <w:p w:rsidR="000C3EEF" w:rsidRPr="00E76E06" w:rsidRDefault="000C3EEF" w:rsidP="000C3EEF">
      <w:pPr>
        <w:pStyle w:val="a3"/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009BA" w:rsidRPr="000C3EEF" w:rsidRDefault="00FF29C1" w:rsidP="000C3EEF">
      <w:pPr>
        <w:pStyle w:val="a3"/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Несъответствие по показател </w:t>
      </w:r>
      <w:r w:rsidRPr="000C3E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„флуориди” </w:t>
      </w:r>
      <w:r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е констатирано в една зона /с. Лазарово/, което е с постоянен характер за населеното място, като през </w:t>
      </w:r>
      <w:r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2018 година </w:t>
      </w:r>
      <w:r w:rsidR="00E009BA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установеното отклонение е </w:t>
      </w:r>
      <w:r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2,00 мг/л, през </w:t>
      </w:r>
      <w:r w:rsidR="00E009BA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2019 година </w:t>
      </w:r>
      <w:r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– 1,91 мг/л.</w:t>
      </w:r>
      <w:r w:rsidR="00E009BA" w:rsidRP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а през отчетния период е 1,93 мг/л.</w:t>
      </w:r>
    </w:p>
    <w:p w:rsidR="000C3EEF" w:rsidRPr="000C3EEF" w:rsidRDefault="000C3EEF" w:rsidP="000C3EEF">
      <w:pPr>
        <w:pStyle w:val="a3"/>
        <w:overflowPunct w:val="0"/>
        <w:autoSpaceDE w:val="0"/>
        <w:autoSpaceDN w:val="0"/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F29C1" w:rsidRPr="00115C50" w:rsidRDefault="00115C50" w:rsidP="000C3EEF">
      <w:pPr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6. </w:t>
      </w:r>
      <w:r w:rsidR="00FF29C1"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Отклонения по показател </w:t>
      </w:r>
      <w:r w:rsidR="00FF29C1" w:rsidRPr="000C3E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„нитрати”</w:t>
      </w:r>
      <w:r w:rsidR="00FF29C1" w:rsidRPr="00115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CB67D5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е установено в следните населени </w:t>
      </w:r>
      <w:proofErr w:type="gramStart"/>
      <w:r w:rsidR="00CB67D5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места:</w:t>
      </w:r>
      <w:r w:rsidR="00E009BA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гр.</w:t>
      </w:r>
      <w:proofErr w:type="gramEnd"/>
      <w:r w:rsidR="00E009BA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Койнаре, с. Горник</w:t>
      </w:r>
      <w:r w:rsidR="00123ECE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с. Божурица, с. Драгаш войвода, с. Радишево,</w:t>
      </w:r>
      <w:r w:rsidR="00F843F8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23ECE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Тученица, с. Згалево, с. Одърне, с. Борислав, с. Пелишат, с. Обнова,</w:t>
      </w:r>
      <w:r w:rsidR="00F843F8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23ECE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Изгрев, с. Мечка, с. Търнене, с. Град</w:t>
      </w:r>
      <w:r w:rsidR="00F843F8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ина, с. Петърница, с. Черквица, </w:t>
      </w:r>
      <w:r w:rsidR="00123ECE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Гиген,</w:t>
      </w:r>
      <w:r w:rsidR="00123ECE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 гр. Тръстеник</w:t>
      </w:r>
      <w:r w:rsidR="00123ECE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3ECE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Каменец, с. Катерица</w:t>
      </w:r>
      <w:r w:rsidR="00B7759C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гр. Пордим</w:t>
      </w:r>
      <w:r w:rsidR="00D72614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с. Победа</w:t>
      </w:r>
      <w:r w:rsidR="00580503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гр. Долна Митрополия, с. Буковлък и с. Горталово. По отношение отклоненията по този показател </w:t>
      </w:r>
      <w:r w:rsidR="007B3B57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тенденцията е сравнително постоянна - </w:t>
      </w:r>
      <w:r w:rsidR="00580503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 2</w:t>
      </w:r>
      <w:r w:rsidR="007B3B57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580503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зони с отклонения</w:t>
      </w:r>
      <w:r w:rsidR="00CB67D5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през 2018 година, </w:t>
      </w:r>
      <w:r w:rsidR="007B3B57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20 зони на водоснабдяване </w:t>
      </w:r>
      <w:r w:rsidR="00375204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 2019 година</w:t>
      </w:r>
      <w:r w:rsidR="007B3B57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C1C7A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 27 зони на водоснабдяване за</w:t>
      </w:r>
      <w:r w:rsidR="007B3B57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B67D5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2020 </w:t>
      </w:r>
      <w:r w:rsidR="007B3B57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година</w:t>
      </w:r>
      <w:r w:rsidR="00FC1C7A" w:rsidRP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FF29C1" w:rsidRPr="00375204" w:rsidRDefault="00FF29C1" w:rsidP="00F84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Замърсяването с</w:t>
      </w:r>
      <w:r w:rsidRP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 </w:t>
      </w:r>
      <w:r w:rsidRP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нитрати се среща във водите на плитки подземни водоизточници</w:t>
      </w:r>
      <w:r w:rsidRP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 </w:t>
      </w:r>
      <w:r w:rsidRP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(извори, кладенци, сондажи), разположени в местности с</w:t>
      </w:r>
      <w:r w:rsidRP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 </w:t>
      </w:r>
      <w:r w:rsidRP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обработваеми земеделски земи или черпещи вода от незащитени водоносни хоризонти</w:t>
      </w:r>
      <w:r w:rsidRP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. Тъй като област Плевен е район с развита селскостопанска дейност и интензивно земеделие, основната причина за повишаване на този показател е свързана с неправилното използване на азотни минерални торове и неправилна земеделска и животновъдна практика. </w:t>
      </w:r>
      <w:r w:rsidRP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първи път отклонения в качеството на питейните води на територията на област Плевен по показател „нитрати“ е установено от инспекцията през 2006 година.</w:t>
      </w:r>
    </w:p>
    <w:p w:rsidR="00FF29C1" w:rsidRDefault="00FF29C1" w:rsidP="00F843F8">
      <w:pPr>
        <w:tabs>
          <w:tab w:val="num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75477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ab/>
      </w:r>
      <w:r w:rsidR="00F843F8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ab/>
      </w:r>
      <w:r w:rsid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През</w:t>
      </w:r>
      <w:r w:rsidRP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2017 година се </w:t>
      </w:r>
      <w:r w:rsidR="00375204" w:rsidRP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прове</w:t>
      </w:r>
      <w:r w:rsidR="00115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доха</w:t>
      </w:r>
      <w:r w:rsidRP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срещи </w:t>
      </w:r>
      <w:r w:rsidR="00375204" w:rsidRP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и разговори </w:t>
      </w:r>
      <w:r w:rsidRP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 </w:t>
      </w:r>
      <w:r w:rsidR="00375204" w:rsidRP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отговорните институции</w:t>
      </w:r>
      <w:r w:rsid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</w:t>
      </w:r>
      <w:r w:rsidR="00375204" w:rsidRP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местната власт за създаването на комисии </w:t>
      </w:r>
      <w:proofErr w:type="gramStart"/>
      <w:r w:rsidRP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 представители</w:t>
      </w:r>
      <w:proofErr w:type="gramEnd"/>
      <w:r w:rsidRP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от ВиК, Бас</w:t>
      </w:r>
      <w:r w:rsidR="00F8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ейнова дирекция, МОСВ, МЗ и др.</w:t>
      </w:r>
      <w:r w:rsidRP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375204" w:rsidRP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запознаване на местните земеделци с проблема с цел</w:t>
      </w:r>
      <w:r w:rsidR="0060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ограничаване</w:t>
      </w:r>
      <w:r w:rsidRP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 използването на синтетични торове при селскостопанска дейност и въвеждането на добри земеделски практики в санитарно – охранителните пояси на водоизточниците на селищата с нестандартност на питейната вода по показател нитрати. За решаване </w:t>
      </w:r>
      <w:proofErr w:type="gramStart"/>
      <w:r w:rsidRP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 проблема</w:t>
      </w:r>
      <w:proofErr w:type="gramEnd"/>
      <w:r w:rsidRPr="0037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са нужни законодателни промени за стриктно спазване на забраните и ограниченията на торене във всички пояси на санитарно – охранителните зони на водоизточниците за питейно водоснабдяване, стимулиране собствениците на имоти в СОЗ за екологично земеделие, както и санкции, налагани от компетентните институции на нарушителите.</w:t>
      </w:r>
    </w:p>
    <w:p w:rsidR="000C3EEF" w:rsidRPr="00375204" w:rsidRDefault="000C3EEF" w:rsidP="00F843F8">
      <w:pPr>
        <w:tabs>
          <w:tab w:val="num" w:pos="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F29C1" w:rsidRPr="00604D4A" w:rsidRDefault="00CA47BB" w:rsidP="000C3EE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</w:pP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7. </w:t>
      </w:r>
      <w:r w:rsidR="00FF29C1"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Отклонения по показател </w:t>
      </w:r>
      <w:r w:rsidR="00FF29C1" w:rsidRPr="000C3E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„хром”</w:t>
      </w:r>
      <w:r w:rsidR="00FF29C1" w:rsidRPr="0060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през 20</w:t>
      </w:r>
      <w:r w:rsidR="004D5BD4" w:rsidRPr="0060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20</w:t>
      </w:r>
      <w:r w:rsidR="00FF29C1" w:rsidRPr="0060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година</w:t>
      </w:r>
      <w:r w:rsidR="00FF29C1" w:rsidRPr="00604D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FF29C1" w:rsidRPr="0060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са показали 1</w:t>
      </w:r>
      <w:r w:rsidR="00C72AFC" w:rsidRPr="0060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FF29C1" w:rsidRPr="0060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зони на водоснабдяване. В тях са включени населените места: с. Новачене</w:t>
      </w:r>
      <w:r w:rsidR="00FF29C1" w:rsidRPr="00604D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F29C1" w:rsidRPr="0060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с. Асеново, с. Дебово, с. Божурица, с. Дъбован, с Черквица, с. Божурлук, с. Стежерово, с. Татари, с. Славовица, с. Долни Вит, 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F29C1" w:rsidRPr="0060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Муселиево, с. Евлогиево, с. Гиген, с. Искър, с. Брест, с. Загражден</w:t>
      </w:r>
      <w:r w:rsidR="00C72AFC" w:rsidRPr="0060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с. Драгаш войвода, с. Ленково и</w:t>
      </w:r>
      <w:r w:rsidR="00FF29C1" w:rsidRPr="0060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с. Петокладенци.</w:t>
      </w:r>
      <w:r w:rsidR="004D5BD4" w:rsidRPr="00604D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9C1" w:rsidRPr="0060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Касае се за зони с трайни отклонения </w:t>
      </w:r>
      <w:proofErr w:type="gramStart"/>
      <w:r w:rsidR="00FF29C1" w:rsidRPr="0060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 показателя</w:t>
      </w:r>
      <w:proofErr w:type="gramEnd"/>
      <w:r w:rsidR="00FF29C1" w:rsidRPr="0060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на които ежегодно се извършва учестен мониторинг. </w:t>
      </w:r>
    </w:p>
    <w:p w:rsidR="00FF29C1" w:rsidRPr="003C0B8D" w:rsidRDefault="00FF29C1" w:rsidP="006636F3">
      <w:pPr>
        <w:tabs>
          <w:tab w:val="left" w:pos="851"/>
          <w:tab w:val="num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3C0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="003C0B8D" w:rsidRPr="003C0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три</w:t>
      </w:r>
      <w:r w:rsidRPr="003C0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от зоните са установени отклонения и по двата показателя – „хром” и „нитрати”. Населените места, попадащи в тези зони на водоснабдя</w:t>
      </w:r>
      <w:r w:rsidR="003C0B8D" w:rsidRPr="003C0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ване са, с. Божурица, с. Гиген,</w:t>
      </w:r>
      <w:r w:rsidRPr="003C0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с. Искър</w:t>
      </w:r>
      <w:r w:rsidR="003C0B8D" w:rsidRPr="003C0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 с. Черквица</w:t>
      </w:r>
      <w:r w:rsidRPr="003C0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FF29C1" w:rsidRDefault="00FF29C1" w:rsidP="00CA47BB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</w:pPr>
      <w:r w:rsidRPr="00D75477">
        <w:rPr>
          <w:rFonts w:ascii="Times New Roman" w:eastAsia="Times New Roman" w:hAnsi="Times New Roman" w:cs="Times New Roman"/>
          <w:color w:val="FF0000"/>
          <w:sz w:val="28"/>
          <w:szCs w:val="28"/>
          <w:lang w:val="en-AU"/>
        </w:rPr>
        <w:tab/>
      </w:r>
      <w:r w:rsidRPr="003C0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Наличието на хром в питейните води на област Плевен е с естествен произход. Изследванията на подпочвените води, доказват наднормено съдържание на хром в плитки и дълбоки подпочвени води на някои общини на </w:t>
      </w:r>
      <w:r w:rsidRPr="003C0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lastRenderedPageBreak/>
        <w:t>областта. Това прави изключването на водоизточници и разреждането им с води от други водоизточници нецелесъобразно.</w:t>
      </w:r>
    </w:p>
    <w:p w:rsidR="007868BE" w:rsidRPr="003C0B8D" w:rsidRDefault="007868BE" w:rsidP="00DE030F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ab/>
      </w:r>
      <w:r w:rsidRP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В проекта на Бизнес</w:t>
      </w:r>
      <w:r w:rsidRP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P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плана за 2017</w:t>
      </w:r>
      <w:r w:rsidRP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P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2021 г. на </w:t>
      </w:r>
      <w:r w:rsidRP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„</w:t>
      </w:r>
      <w:r w:rsidRP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ВиК Плевен</w:t>
      </w:r>
      <w:r w:rsidRP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P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 ЕООД се планира инвестирането на средства в </w:t>
      </w:r>
      <w:r w:rsidRP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она № 11, с.Татари и </w:t>
      </w:r>
      <w:r w:rsidRP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она №10, с.Петокладенци и с.Стежерово, където питейната вода е нестандартна по показател </w:t>
      </w:r>
      <w:r w:rsidRP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„</w:t>
      </w:r>
      <w:r w:rsidRP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хром</w:t>
      </w:r>
      <w:r w:rsidRP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P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. Вариантът с изграждане на дълбоки сондажи, е свързан с тежки, скъпи и мудни процедури за отчуждаване на терени за СОЗ и отреждане на сервитути на трасета на инфраструктурата, както и по</w:t>
      </w:r>
      <w:r w:rsidRP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P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големи финансови средства и липса на гаранция за качествата на водата, добита от тях. От страна на ВиК ведомството е избран вариантът за монтиране на модулни пречиствателни съоръжения в посочените две зони. Нужните финансови средства са 200 хил. лв. за зона, като всеки проект ще се изпълни в рамките на две години. Предвид пилотния характер на двата проекта, след реализирането им и установяване реално на ефективността на вложените инвестиции, ще се планират средства за модулни ПСПВ през следващите регулаторни периоди за останалите зони на водоснабдяване с установени отклонения по показател хром.</w:t>
      </w:r>
    </w:p>
    <w:p w:rsidR="00FF29C1" w:rsidRDefault="00FF29C1" w:rsidP="006636F3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75477">
        <w:rPr>
          <w:rFonts w:ascii="Times New Roman" w:eastAsia="Times New Roman" w:hAnsi="Times New Roman" w:cs="Times New Roman"/>
          <w:color w:val="FF0000"/>
          <w:sz w:val="28"/>
          <w:szCs w:val="28"/>
          <w:lang w:val="en-AU"/>
        </w:rPr>
        <w:tab/>
      </w:r>
      <w:r w:rsidRPr="0060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За област Плевен проблемът с естественото наднормено съдържание на хром и нитрати в питейните води на редица селища датира отдавна. Още през 2008 година са определени 26 зони на водоснабдяване с трайни отклонения по тези показатели. Обемът на разпределената вода в тях е под 1000 куб.м. в денонощие и са с постоянно живеещо население, свързано към водоснабдителната система под 5000 души. С предписание на РЗИ – </w:t>
      </w:r>
      <w:proofErr w:type="gramStart"/>
      <w:r w:rsidRPr="0060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Плевен  /</w:t>
      </w:r>
      <w:proofErr w:type="gramEnd"/>
      <w:r w:rsidRPr="0060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РИОКОЗ – Плевен/ изх. №ЗК-05-0102/21.02.2008 година., </w:t>
      </w:r>
      <w:proofErr w:type="gramStart"/>
      <w:r w:rsidRPr="0060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 страна</w:t>
      </w:r>
      <w:proofErr w:type="gramEnd"/>
      <w:r w:rsidRPr="0060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 „ВиК Плевен” ЕООД е стартира</w:t>
      </w:r>
      <w:r w:rsidRPr="00604D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60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 процедура и са депозирани заявления в МЗ за издаване на разрешения за ползване на питейна вода с отклонения от изискванията за качество. От началото на 2008 година между „ВиК Плевен” ЕООД и МЗ се води кореспонденция по казуса, но до 2010 година Министерство на здравеопазването не е издало разрешение за ползване на вода за питейно-битови цели с отклонение от изискванията нито за една от зоните на водоснабдяване, за които водоснабдителното дружество е депозирало заявления в МЗ, поради обстоятелството, че представената документация не отговаря изцяло на изискванията на чл. 11 от Наредба №9 на МЗ – мерките, които са предложени за отстраняване на отклоненията не дават гаранция, че проблемът ще бъде разрешен в рамките на тригодишен период, както и не е представен точен и ясен календарен график за предвидените дейности, които ще бъдат извършени, с финансови разчети за реализацията им.</w:t>
      </w:r>
    </w:p>
    <w:p w:rsidR="007868BE" w:rsidRPr="007868BE" w:rsidRDefault="007868BE" w:rsidP="006636F3">
      <w:pPr>
        <w:overflowPunct w:val="0"/>
        <w:autoSpaceDE w:val="0"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 всички зони с констатирани отклонения по химични показатели </w:t>
      </w:r>
      <w:r w:rsidRPr="00FC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 гореизброените населени места и през 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година ще продължи да се извършва учестен мониторинг на питейната вода с цел установяване точните концентрации на нестандартните показатели в годишен аспект и</w:t>
      </w:r>
      <w:r w:rsidRPr="00FC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уточняване степента и персистиране на отклонени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ята</w:t>
      </w:r>
      <w:r w:rsidRPr="00FC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FF29C1" w:rsidRDefault="00FF29C1" w:rsidP="00DE030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75477">
        <w:rPr>
          <w:rFonts w:ascii="Times New Roman" w:eastAsia="Times New Roman" w:hAnsi="Times New Roman" w:cs="Times New Roman"/>
          <w:color w:val="FF0000"/>
          <w:sz w:val="28"/>
          <w:szCs w:val="28"/>
          <w:lang w:val="en-AU"/>
        </w:rPr>
        <w:tab/>
      </w:r>
      <w:r w:rsidR="00DE030F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За установените трайни отклонения по химични показатели в област Плевен са информирани </w:t>
      </w:r>
      <w:r w:rsidR="00976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АВиК, </w:t>
      </w:r>
      <w:r w:rsidRP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местните власти на засегнатите общини и населението, живеещо в тях чрез бюлетина на инспекцията, който се актуализира ежеседмично с резултати от извършения мониторинг на качестват</w:t>
      </w:r>
      <w:r w:rsid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а на питейната вода в областта, </w:t>
      </w:r>
      <w:r w:rsidR="00976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както </w:t>
      </w:r>
      <w:r w:rsidR="00786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кореспонденции на водоснабдителното дружество </w:t>
      </w:r>
      <w:r w:rsidR="00B514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 общински администрации</w:t>
      </w:r>
      <w:r w:rsidR="00976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имащи отношение към проблема.</w:t>
      </w:r>
    </w:p>
    <w:p w:rsidR="000C3EEF" w:rsidRPr="007868BE" w:rsidRDefault="000C3EEF" w:rsidP="00DE030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</w:pPr>
    </w:p>
    <w:p w:rsidR="001828D9" w:rsidRPr="00DE030F" w:rsidRDefault="00DE030F" w:rsidP="000C3EE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</w:pP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8.</w:t>
      </w:r>
      <w:r w:rsidR="000C3EEF"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F29C1"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>Отклонения по „</w:t>
      </w:r>
      <w:r w:rsidR="00FF29C1" w:rsidRPr="000C3E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AU"/>
        </w:rPr>
        <w:t>радиологични”</w:t>
      </w:r>
      <w:r w:rsidR="00FF29C1"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 xml:space="preserve"> показатели</w:t>
      </w:r>
      <w:r w:rsidR="00FF29C1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 –</w:t>
      </w:r>
      <w:r w:rsidR="00761029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9C1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В изпълнение мониторинга по радиологични показатели за 20</w:t>
      </w:r>
      <w:r w:rsidR="006636F3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F29C1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 г</w:t>
      </w:r>
      <w:r w:rsidR="00FF29C1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одина</w:t>
      </w:r>
      <w:r w:rsidR="00FF29C1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 от страна на водоснабдителното дружество са предоставени резултати от извършени анализи, при прегледа на които се установи, че пробите от </w:t>
      </w:r>
      <w:r w:rsidR="001828D9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FF29C1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 населени места са показали превишение на нормативно определената стойност по показател „Обща алфа </w:t>
      </w:r>
      <w:proofErr w:type="gramStart"/>
      <w:r w:rsidR="00FF29C1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активност“</w:t>
      </w:r>
      <w:proofErr w:type="gramEnd"/>
      <w:r w:rsidR="001828D9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1 населено място и по показател </w:t>
      </w:r>
      <w:r w:rsidR="001828D9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„Обща </w:t>
      </w:r>
      <w:r w:rsidR="001828D9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бета </w:t>
      </w:r>
      <w:r w:rsidR="001828D9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активност“</w:t>
      </w:r>
      <w:r w:rsidR="00FF29C1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.</w:t>
      </w:r>
      <w:r w:rsidR="00FF29C1" w:rsidRPr="00DE030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828D9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направена документална проверка се установи, че з</w:t>
      </w:r>
      <w:r w:rsidR="00FF29C1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а </w:t>
      </w:r>
      <w:r w:rsidR="00FF29C1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четири</w:t>
      </w:r>
      <w:r w:rsidR="00FF29C1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 от населените места</w:t>
      </w:r>
      <w:r w:rsidR="001828D9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с. Телиш, гр. Койнаре, с. Сомовит и с. Градина</w:t>
      </w:r>
      <w:r w:rsidR="00FF29C1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8D9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предходните години</w:t>
      </w:r>
      <w:r w:rsidR="00FF29C1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 </w:t>
      </w:r>
      <w:r w:rsidR="003341D2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предписание от страна на инспекцията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3341D2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стартиран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проучване и </w:t>
      </w:r>
      <w:r w:rsidR="00FF29C1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 извърш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</w:t>
      </w:r>
      <w:r w:rsidR="00FF29C1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9C1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допълнителни анализи на конкретни радионуклиди и изчисляване на индикативна зона, доказващи липсата на отклонение</w:t>
      </w:r>
      <w:r w:rsidR="00FF29C1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нормативните изисквания</w:t>
      </w:r>
      <w:r w:rsidR="00FF29C1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Съгласно</w:t>
      </w:r>
      <w:r w:rsidR="001828D9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указания на МЗ, дадени с писмо изх. №33-14-42/26.11.2018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8D9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при извършването на последващ мониторинг в населени места с установени нива </w:t>
      </w:r>
      <w:r w:rsidR="003341D2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обща алфа и бета активност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</w:t>
      </w:r>
      <w:r w:rsidR="001828D9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1D2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контролната стойност и ако тези нива са постоянни във времето и в рамките на обичайните за зоната и при същите има вече определена индикативна доза и няма нови обстоятелства, които да доведат до промяната и, не е необходимо всеки път при изследване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рамките на мониторинга да се </w:t>
      </w:r>
      <w:r w:rsidR="003341D2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 ново проучване. По тази причина и след направен анализ на нивата на горецитираните радиологични показатели в предходни години, РЗИ – Плевен не счете за необходимо извършване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="003341D2" w:rsidRP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ново проучване в гореизброените населени места.</w:t>
      </w:r>
    </w:p>
    <w:p w:rsidR="00FF29C1" w:rsidRPr="000D038C" w:rsidRDefault="003341D2" w:rsidP="003341D2">
      <w:pPr>
        <w:pStyle w:val="a3"/>
        <w:tabs>
          <w:tab w:val="num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останалите </w:t>
      </w:r>
      <w:r w:rsid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селища</w:t>
      </w:r>
      <w:r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показали </w:t>
      </w:r>
      <w:r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превишение на нормативно определената стойност по показател „Обща алфа активност“</w:t>
      </w:r>
      <w:r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с. Еница, с. </w:t>
      </w:r>
      <w:r w:rsidR="000D038C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Глава, с. Борислав и с. Божурица, и</w:t>
      </w:r>
      <w:r w:rsidR="00FF29C1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нспекцията</w:t>
      </w:r>
      <w:r w:rsidR="00FF29C1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 </w:t>
      </w:r>
      <w:r w:rsidR="00FF29C1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изпрати</w:t>
      </w:r>
      <w:r w:rsidR="00FF29C1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 протоколите </w:t>
      </w:r>
      <w:r w:rsidR="00FF29C1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анализи </w:t>
      </w:r>
      <w:r w:rsidR="00FF29C1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в РЗИ – Враца за предоставяне на </w:t>
      </w:r>
      <w:r w:rsidR="00FF29C1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FF29C1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дравно заключение от специалистите на радиологичния отдел. </w:t>
      </w:r>
      <w:r w:rsidR="000D038C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F29C1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здаден</w:t>
      </w:r>
      <w:r w:rsidR="000D038C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ите</w:t>
      </w:r>
      <w:r w:rsidR="00FF29C1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38C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становища заключават, че </w:t>
      </w:r>
      <w:r w:rsidR="00FF29C1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завишен</w:t>
      </w:r>
      <w:r w:rsidR="000D038C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ите</w:t>
      </w:r>
      <w:r w:rsidR="00FF29C1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нив</w:t>
      </w:r>
      <w:r w:rsidR="000D038C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FF29C1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38C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D038C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„Обща алфа активност“</w:t>
      </w:r>
      <w:r w:rsidR="000D038C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посочените села </w:t>
      </w:r>
      <w:r w:rsidR="00FF29C1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 дълж</w:t>
      </w:r>
      <w:r w:rsid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</w:t>
      </w:r>
      <w:r w:rsidR="00FF29C1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предимно на естествен уран и неговите дъщерни продукти, като е възможно да присъстват и други алфа нуклиди, които са в незначително съдържание по отношение на индикативната доза и затова не </w:t>
      </w:r>
      <w:r w:rsidR="000D038C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необходим допълнителен анализ</w:t>
      </w:r>
      <w:r w:rsidR="00FF29C1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038C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тази причина РЗИ – Плевен не издаде предписания до</w:t>
      </w:r>
      <w:r w:rsidR="00FF29C1" w:rsidRPr="000D0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водоснабдителното дружество за стартиране на проучване с цел установяване на причините, довели до отклонението за горецитираните населени места. </w:t>
      </w:r>
    </w:p>
    <w:p w:rsidR="00FF29C1" w:rsidRPr="00364920" w:rsidRDefault="00FF29C1" w:rsidP="00FF29C1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547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63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През настоящия отчетен период от страна на инспекцията не се е наложило спиране на водоподаването или ограничаване употребата на питейна вода в нито едно от населените места на област Плевен, свързано с установени отклонения в качеството на водата, които да създават потенциална опасност за здравето на населението. За периода 01.01. – 31.12.20</w:t>
      </w:r>
      <w:r w:rsidR="009D3EC9" w:rsidRPr="0066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66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3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г</w:t>
      </w:r>
      <w:r w:rsidRPr="0066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одина</w:t>
      </w:r>
      <w:r w:rsidRPr="00663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 от служителите на инспекцията са извършени </w:t>
      </w:r>
      <w:r w:rsidR="009D3EC9" w:rsidRPr="0066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804</w:t>
      </w:r>
      <w:r w:rsidRPr="00663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 проверки на водоизточници, водоснабдителни обекти и съоръжения за питейно</w:t>
      </w:r>
      <w:r w:rsidRPr="0066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3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Pr="00663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битово водоснабдяване на територията на областта. Издадени са </w:t>
      </w:r>
      <w:r w:rsid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 предписания</w:t>
      </w:r>
      <w:r w:rsidRPr="00663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, свързани с провеждане на оздравителни мероприятия, предоставяне на данни от страна на водоснабдителните дружества за извършвания от тях мониторинг на питейна вода, за </w:t>
      </w:r>
      <w:r w:rsidRPr="0066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провеждане</w:t>
      </w:r>
      <w:r w:rsidRPr="00663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 xml:space="preserve"> на проучвания и предприемане на мерки от ВиК операторите в резултат на установени от инспекцията отклонения в качеството на подаваната вода. За констатирани несъответствия в качествата на питейна вода по микробиологични </w:t>
      </w:r>
      <w:r w:rsidRPr="00663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lastRenderedPageBreak/>
        <w:t xml:space="preserve">показатели са съставени </w:t>
      </w:r>
      <w:r w:rsidR="006636F3" w:rsidRPr="0066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 акта </w:t>
      </w:r>
      <w:r w:rsidR="000C3E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за административно нарушение</w:t>
      </w:r>
      <w:r w:rsidR="0036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 </w:t>
      </w:r>
      <w:r w:rsidR="00991A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констатираните</w:t>
      </w:r>
      <w:r w:rsidR="0036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отклонения по микробиологични показатели от страна на инспекцията са връчени </w:t>
      </w:r>
      <w:r w:rsidR="00991A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ВиК </w:t>
      </w:r>
      <w:r w:rsidR="00991A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дружеството </w:t>
      </w:r>
      <w:r w:rsidR="0036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 предписания за общо 18 броя проби питейни води. В изпълнение на предписаните мероприятия </w:t>
      </w:r>
      <w:r w:rsidR="00364920" w:rsidRPr="00364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AU"/>
        </w:rPr>
        <w:t>„ВиК Плевен“ ЕООД</w:t>
      </w:r>
      <w:r w:rsidR="0036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 извършило промивка и дезинфекция на водопроводната мрежа на съответните населени места,</w:t>
      </w:r>
      <w:r w:rsidR="00DE0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както и </w:t>
      </w:r>
      <w:r w:rsidR="00364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последващо пробонабиране с цел доказване ефективността на оздравителните мероприятия, което е удостоверено с протоколи от лабораторни изследвания. </w:t>
      </w:r>
    </w:p>
    <w:p w:rsidR="00FF29C1" w:rsidRDefault="00FF29C1" w:rsidP="00FF29C1">
      <w:pPr>
        <w:tabs>
          <w:tab w:val="left" w:pos="851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5477">
        <w:rPr>
          <w:rFonts w:ascii="Arial" w:eastAsia="Times New Roman" w:hAnsi="Arial" w:cs="Times New Roman"/>
          <w:b/>
          <w:color w:val="FF0000"/>
          <w:sz w:val="28"/>
          <w:szCs w:val="28"/>
        </w:rPr>
        <w:tab/>
      </w:r>
      <w:r w:rsidRPr="00F7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 искане на МЗ с писмо изх. №16-00-3</w:t>
      </w:r>
      <w:r w:rsidR="006138D8" w:rsidRPr="00F7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Pr="00F7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/0</w:t>
      </w:r>
      <w:r w:rsidR="00F73880" w:rsidRPr="00F7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F7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.0</w:t>
      </w:r>
      <w:r w:rsidR="00F73880" w:rsidRPr="00F7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F7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.20</w:t>
      </w:r>
      <w:r w:rsidR="00F73880" w:rsidRPr="00F7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20</w:t>
      </w:r>
      <w:r w:rsidRPr="00F7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година и в изпълнение на чл. 14, ал.5 от Наредба №9/2001 година са въведени и данните в информационната система за събиране и анализ на резултатите от провеждания мониторинг на качеството на питейните води </w:t>
      </w:r>
      <w:r w:rsidRPr="00F738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съответствие с изискванията за докладване на Европейската комисия </w:t>
      </w:r>
      <w:r w:rsidRPr="00F7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 извършения от РЗИ и водоснабдителната организация мониторинг на питейната вода във всички зони на водоснабдяване</w:t>
      </w:r>
      <w:r w:rsidRPr="00F738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201</w:t>
      </w:r>
      <w:r w:rsidR="000D038C" w:rsidRPr="00F738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38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0C3EEF" w:rsidRPr="00F73880" w:rsidRDefault="000C3EEF" w:rsidP="00FF29C1">
      <w:pPr>
        <w:tabs>
          <w:tab w:val="left" w:pos="851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29C1" w:rsidRPr="000C3EEF" w:rsidRDefault="00FF29C1" w:rsidP="00FF29C1">
      <w:pPr>
        <w:spacing w:after="0" w:line="240" w:lineRule="auto"/>
        <w:ind w:right="72" w:firstLine="851"/>
        <w:jc w:val="both"/>
        <w:rPr>
          <w:rFonts w:ascii="Times New Roman" w:eastAsia="Times New Roman" w:hAnsi="Times New Roman" w:cs="Times New Roman"/>
          <w:i/>
          <w:color w:val="000000" w:themeColor="text1"/>
          <w:lang w:val="en-AU"/>
        </w:rPr>
      </w:pP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>През 20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</w:t>
      </w:r>
      <w:r w:rsidR="002776A4"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>г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одина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 xml:space="preserve"> от страна на РЗИ – Плевен ще продължи извършването на систематичен и насочен контрол на състоянието и поддържането на водоизточниците, водоснабдителните съоръжения и санитарно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– 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 xml:space="preserve">охранителните им зони, както и ще 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осъществява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 xml:space="preserve"> 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контролно 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 xml:space="preserve">мониториране на качествата на питейната вода, подавана за населението на областта. 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Ще продължи 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>засиления контрол за изпълнение в пълен обем на мониторинга на питейните води от страна на водоснабдителното дружество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 xml:space="preserve"> съгласно изискванията на Наредба № 9 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МЗ и в съответствие със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 xml:space="preserve"> съгласуван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ата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 xml:space="preserve"> </w:t>
      </w:r>
      <w:bookmarkStart w:id="0" w:name="_GoBack"/>
      <w:bookmarkEnd w:id="0"/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>с РЗИ –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>Плевен мониторингов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 xml:space="preserve"> програм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>.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>При приоритизиране на зоните на водоснабдяване по отношение на мониторинга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 xml:space="preserve">първостепенен приоритет ще са 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тези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 xml:space="preserve"> с </w:t>
      </w:r>
      <w:r w:rsidRPr="000C3EE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AU"/>
        </w:rPr>
        <w:t>трайни отклонения</w:t>
      </w:r>
      <w:r w:rsidRPr="000C3E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en-AU"/>
        </w:rPr>
        <w:t xml:space="preserve"> 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>от изискванията на Приложение № 1, Таблица Б на Наредба №9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/2001г. 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>на МЗ. Във всички случаи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ще бъде спазен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 xml:space="preserve"> ангажимент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ът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 xml:space="preserve"> на 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РЗИ 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>–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Плевен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AU"/>
        </w:rPr>
        <w:t xml:space="preserve"> да информира потребителите 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 възникнали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en-AU"/>
        </w:rPr>
        <w:t xml:space="preserve"> инциденти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</w:rPr>
        <w:t>,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en-AU"/>
        </w:rPr>
        <w:t xml:space="preserve"> водещи до здравен риск за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</w:rPr>
        <w:t xml:space="preserve"> населението и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en-AU"/>
        </w:rPr>
        <w:t xml:space="preserve"> за ко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</w:rPr>
        <w:t>и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en-AU"/>
        </w:rPr>
        <w:t>то е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</w:rPr>
        <w:t xml:space="preserve"> 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en-AU"/>
        </w:rPr>
        <w:t>необходимо предприемане на действия от страна на инспекцията, свързани с огранич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</w:rPr>
        <w:t>аване</w:t>
      </w:r>
      <w:r w:rsidRPr="000C3EEF">
        <w:rPr>
          <w:rFonts w:ascii="Times New Roman" w:eastAsia="Times New Roman" w:hAnsi="Times New Roman" w:cs="Times New Roman"/>
          <w:i/>
          <w:color w:val="000000" w:themeColor="text1"/>
          <w:sz w:val="28"/>
          <w:szCs w:val="20"/>
          <w:lang w:val="en-AU"/>
        </w:rPr>
        <w:t xml:space="preserve"> или преустановяване на водоподаването.</w:t>
      </w:r>
    </w:p>
    <w:p w:rsidR="00925E10" w:rsidRPr="00677FB0" w:rsidRDefault="00925E10">
      <w:pPr>
        <w:rPr>
          <w:color w:val="000000" w:themeColor="text1"/>
        </w:rPr>
      </w:pPr>
    </w:p>
    <w:sectPr w:rsidR="00925E10" w:rsidRPr="00677FB0" w:rsidSect="000C3E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55B9"/>
    <w:multiLevelType w:val="hybridMultilevel"/>
    <w:tmpl w:val="975C528A"/>
    <w:lvl w:ilvl="0" w:tplc="FE50FE9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493E07"/>
    <w:multiLevelType w:val="hybridMultilevel"/>
    <w:tmpl w:val="3D2AD608"/>
    <w:lvl w:ilvl="0" w:tplc="62CA7740">
      <w:start w:val="8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2" w:hanging="360"/>
      </w:pPr>
    </w:lvl>
    <w:lvl w:ilvl="2" w:tplc="0402001B" w:tentative="1">
      <w:start w:val="1"/>
      <w:numFmt w:val="lowerRoman"/>
      <w:lvlText w:val="%3."/>
      <w:lvlJc w:val="right"/>
      <w:pPr>
        <w:ind w:left="3162" w:hanging="180"/>
      </w:pPr>
    </w:lvl>
    <w:lvl w:ilvl="3" w:tplc="0402000F" w:tentative="1">
      <w:start w:val="1"/>
      <w:numFmt w:val="decimal"/>
      <w:lvlText w:val="%4."/>
      <w:lvlJc w:val="left"/>
      <w:pPr>
        <w:ind w:left="3882" w:hanging="360"/>
      </w:pPr>
    </w:lvl>
    <w:lvl w:ilvl="4" w:tplc="04020019" w:tentative="1">
      <w:start w:val="1"/>
      <w:numFmt w:val="lowerLetter"/>
      <w:lvlText w:val="%5."/>
      <w:lvlJc w:val="left"/>
      <w:pPr>
        <w:ind w:left="4602" w:hanging="360"/>
      </w:pPr>
    </w:lvl>
    <w:lvl w:ilvl="5" w:tplc="0402001B" w:tentative="1">
      <w:start w:val="1"/>
      <w:numFmt w:val="lowerRoman"/>
      <w:lvlText w:val="%6."/>
      <w:lvlJc w:val="right"/>
      <w:pPr>
        <w:ind w:left="5322" w:hanging="180"/>
      </w:pPr>
    </w:lvl>
    <w:lvl w:ilvl="6" w:tplc="0402000F" w:tentative="1">
      <w:start w:val="1"/>
      <w:numFmt w:val="decimal"/>
      <w:lvlText w:val="%7."/>
      <w:lvlJc w:val="left"/>
      <w:pPr>
        <w:ind w:left="6042" w:hanging="360"/>
      </w:pPr>
    </w:lvl>
    <w:lvl w:ilvl="7" w:tplc="04020019" w:tentative="1">
      <w:start w:val="1"/>
      <w:numFmt w:val="lowerLetter"/>
      <w:lvlText w:val="%8."/>
      <w:lvlJc w:val="left"/>
      <w:pPr>
        <w:ind w:left="6762" w:hanging="360"/>
      </w:pPr>
    </w:lvl>
    <w:lvl w:ilvl="8" w:tplc="0402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" w15:restartNumberingAfterBreak="0">
    <w:nsid w:val="376C7408"/>
    <w:multiLevelType w:val="hybridMultilevel"/>
    <w:tmpl w:val="035AE28A"/>
    <w:lvl w:ilvl="0" w:tplc="3D5A37E0">
      <w:start w:val="8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85" w:hanging="360"/>
      </w:pPr>
    </w:lvl>
    <w:lvl w:ilvl="2" w:tplc="0402001B" w:tentative="1">
      <w:start w:val="1"/>
      <w:numFmt w:val="lowerRoman"/>
      <w:lvlText w:val="%3."/>
      <w:lvlJc w:val="right"/>
      <w:pPr>
        <w:ind w:left="3305" w:hanging="180"/>
      </w:pPr>
    </w:lvl>
    <w:lvl w:ilvl="3" w:tplc="0402000F" w:tentative="1">
      <w:start w:val="1"/>
      <w:numFmt w:val="decimal"/>
      <w:lvlText w:val="%4."/>
      <w:lvlJc w:val="left"/>
      <w:pPr>
        <w:ind w:left="4025" w:hanging="360"/>
      </w:pPr>
    </w:lvl>
    <w:lvl w:ilvl="4" w:tplc="04020019" w:tentative="1">
      <w:start w:val="1"/>
      <w:numFmt w:val="lowerLetter"/>
      <w:lvlText w:val="%5."/>
      <w:lvlJc w:val="left"/>
      <w:pPr>
        <w:ind w:left="4745" w:hanging="360"/>
      </w:pPr>
    </w:lvl>
    <w:lvl w:ilvl="5" w:tplc="0402001B" w:tentative="1">
      <w:start w:val="1"/>
      <w:numFmt w:val="lowerRoman"/>
      <w:lvlText w:val="%6."/>
      <w:lvlJc w:val="right"/>
      <w:pPr>
        <w:ind w:left="5465" w:hanging="180"/>
      </w:pPr>
    </w:lvl>
    <w:lvl w:ilvl="6" w:tplc="0402000F" w:tentative="1">
      <w:start w:val="1"/>
      <w:numFmt w:val="decimal"/>
      <w:lvlText w:val="%7."/>
      <w:lvlJc w:val="left"/>
      <w:pPr>
        <w:ind w:left="6185" w:hanging="360"/>
      </w:pPr>
    </w:lvl>
    <w:lvl w:ilvl="7" w:tplc="04020019" w:tentative="1">
      <w:start w:val="1"/>
      <w:numFmt w:val="lowerLetter"/>
      <w:lvlText w:val="%8."/>
      <w:lvlJc w:val="left"/>
      <w:pPr>
        <w:ind w:left="6905" w:hanging="360"/>
      </w:pPr>
    </w:lvl>
    <w:lvl w:ilvl="8" w:tplc="0402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" w15:restartNumberingAfterBreak="0">
    <w:nsid w:val="52E61BC7"/>
    <w:multiLevelType w:val="hybridMultilevel"/>
    <w:tmpl w:val="8152CB12"/>
    <w:lvl w:ilvl="0" w:tplc="069CC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68486B14"/>
    <w:multiLevelType w:val="hybridMultilevel"/>
    <w:tmpl w:val="F08E3C08"/>
    <w:lvl w:ilvl="0" w:tplc="5E4C0D98">
      <w:start w:val="1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D94228D"/>
    <w:multiLevelType w:val="hybridMultilevel"/>
    <w:tmpl w:val="5AE8CA56"/>
    <w:lvl w:ilvl="0" w:tplc="DE2A9494">
      <w:start w:val="3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FF"/>
    <w:rsid w:val="00007A60"/>
    <w:rsid w:val="00084C9D"/>
    <w:rsid w:val="000C3EEF"/>
    <w:rsid w:val="000D038C"/>
    <w:rsid w:val="000E7B8F"/>
    <w:rsid w:val="001064D0"/>
    <w:rsid w:val="00115C50"/>
    <w:rsid w:val="00123ECE"/>
    <w:rsid w:val="00151318"/>
    <w:rsid w:val="00170084"/>
    <w:rsid w:val="001755BF"/>
    <w:rsid w:val="001828D9"/>
    <w:rsid w:val="001836CA"/>
    <w:rsid w:val="00190829"/>
    <w:rsid w:val="002152D8"/>
    <w:rsid w:val="002749B6"/>
    <w:rsid w:val="002776A4"/>
    <w:rsid w:val="002861F8"/>
    <w:rsid w:val="00296847"/>
    <w:rsid w:val="002E6974"/>
    <w:rsid w:val="003341D2"/>
    <w:rsid w:val="00341E23"/>
    <w:rsid w:val="00360471"/>
    <w:rsid w:val="00364920"/>
    <w:rsid w:val="00375204"/>
    <w:rsid w:val="003A5196"/>
    <w:rsid w:val="003C0B8D"/>
    <w:rsid w:val="00434B10"/>
    <w:rsid w:val="004602CD"/>
    <w:rsid w:val="004D5BD4"/>
    <w:rsid w:val="00506B24"/>
    <w:rsid w:val="005414CC"/>
    <w:rsid w:val="00576121"/>
    <w:rsid w:val="00580503"/>
    <w:rsid w:val="00583EFF"/>
    <w:rsid w:val="0058694A"/>
    <w:rsid w:val="0059203E"/>
    <w:rsid w:val="005D27B8"/>
    <w:rsid w:val="006023D5"/>
    <w:rsid w:val="00604D4A"/>
    <w:rsid w:val="006138D8"/>
    <w:rsid w:val="006166AE"/>
    <w:rsid w:val="00621E3A"/>
    <w:rsid w:val="006636F3"/>
    <w:rsid w:val="00677FB0"/>
    <w:rsid w:val="006A779F"/>
    <w:rsid w:val="00761029"/>
    <w:rsid w:val="007868BE"/>
    <w:rsid w:val="007B3B57"/>
    <w:rsid w:val="007C0B4B"/>
    <w:rsid w:val="007F71C5"/>
    <w:rsid w:val="00823BF5"/>
    <w:rsid w:val="00841E61"/>
    <w:rsid w:val="008C0591"/>
    <w:rsid w:val="008C4AEE"/>
    <w:rsid w:val="008E1624"/>
    <w:rsid w:val="00925E10"/>
    <w:rsid w:val="00944EAE"/>
    <w:rsid w:val="009545F1"/>
    <w:rsid w:val="0095540C"/>
    <w:rsid w:val="00976452"/>
    <w:rsid w:val="00984A97"/>
    <w:rsid w:val="00991A1C"/>
    <w:rsid w:val="009D3EC9"/>
    <w:rsid w:val="00A676FF"/>
    <w:rsid w:val="00AA5F14"/>
    <w:rsid w:val="00AB4FEF"/>
    <w:rsid w:val="00AC20A0"/>
    <w:rsid w:val="00AF7A8A"/>
    <w:rsid w:val="00B339DF"/>
    <w:rsid w:val="00B422E5"/>
    <w:rsid w:val="00B51464"/>
    <w:rsid w:val="00B7759C"/>
    <w:rsid w:val="00BD6819"/>
    <w:rsid w:val="00C22D48"/>
    <w:rsid w:val="00C72AFC"/>
    <w:rsid w:val="00CA3EED"/>
    <w:rsid w:val="00CA47BB"/>
    <w:rsid w:val="00CB67D5"/>
    <w:rsid w:val="00CD3349"/>
    <w:rsid w:val="00CE42CD"/>
    <w:rsid w:val="00D34E03"/>
    <w:rsid w:val="00D72614"/>
    <w:rsid w:val="00D75477"/>
    <w:rsid w:val="00DD124B"/>
    <w:rsid w:val="00DE030F"/>
    <w:rsid w:val="00E009BA"/>
    <w:rsid w:val="00E76E06"/>
    <w:rsid w:val="00ED300F"/>
    <w:rsid w:val="00EE0DDC"/>
    <w:rsid w:val="00EE7086"/>
    <w:rsid w:val="00F73880"/>
    <w:rsid w:val="00F77463"/>
    <w:rsid w:val="00F843F8"/>
    <w:rsid w:val="00FB368B"/>
    <w:rsid w:val="00FC1C7A"/>
    <w:rsid w:val="00FE07DE"/>
    <w:rsid w:val="00FE1D17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97F72"/>
  <w15:chartTrackingRefBased/>
  <w15:docId w15:val="{A49BF27D-40AE-435C-90EA-981CD8D3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A7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4B2F-50CE-4A38-BB80-1A46698A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2021-02-25T10:02:00Z</cp:lastPrinted>
  <dcterms:created xsi:type="dcterms:W3CDTF">2021-03-15T09:52:00Z</dcterms:created>
  <dcterms:modified xsi:type="dcterms:W3CDTF">2021-03-15T09:52:00Z</dcterms:modified>
</cp:coreProperties>
</file>