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F5" w:rsidRPr="00A341F5" w:rsidRDefault="00A341F5" w:rsidP="00A341F5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  <w:r w:rsidRPr="00A341F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  <w:t>на 24.03.2020</w:t>
      </w:r>
      <w:r w:rsidRPr="00A341F5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г.</w:t>
      </w:r>
    </w:p>
    <w:p w:rsidR="00A341F5" w:rsidRPr="00A341F5" w:rsidRDefault="00E17587" w:rsidP="00A3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ДОКЛАД</w:t>
      </w:r>
    </w:p>
    <w:p w:rsidR="00E17587" w:rsidRDefault="00E17587" w:rsidP="00A3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ЗА КАЧЕСТВОТО НА ВОДАТА, ПРЕДНАЗНАЧЕНА </w:t>
      </w:r>
    </w:p>
    <w:p w:rsidR="00E17587" w:rsidRDefault="00E17587" w:rsidP="00A3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ЗА ПИТЕЙНО-БИТОВИ ЦЕЛИ НА ТЕРИТОРИЯТА </w:t>
      </w:r>
    </w:p>
    <w:p w:rsidR="00A341F5" w:rsidRPr="00A341F5" w:rsidRDefault="00E17587" w:rsidP="00A3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НА ОБЛАСТ ПЛЕВЕН ЗА 201</w:t>
      </w:r>
      <w:r w:rsidRPr="00A341F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Г.</w:t>
      </w:r>
    </w:p>
    <w:p w:rsidR="00A341F5" w:rsidRPr="00A341F5" w:rsidRDefault="00A341F5" w:rsidP="00A341F5">
      <w:pPr>
        <w:widowControl w:val="0"/>
        <w:spacing w:after="0" w:line="240" w:lineRule="auto"/>
        <w:ind w:right="119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341F5" w:rsidRPr="00A341F5" w:rsidRDefault="00E17587" w:rsidP="00E17587">
      <w:pPr>
        <w:tabs>
          <w:tab w:val="left" w:pos="567"/>
        </w:tabs>
        <w:spacing w:after="0" w:line="240" w:lineRule="auto"/>
        <w:ind w:left="-22" w:hanging="57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>Водоснабдяването на населението на област Плевен с вода за питейно – битови цели се осъществява от 437 централни водоизточника, а броят на водоснабдителните обекти и съоръжения е 326, като на територията, контролирана от инспекцията няма повърхностни водоизточници. Всички са регистрирани по реда на Наредба №9/2005 година на МЗ. На територията, контролирана от инспекцията няма изградени и функциониращи пречиствателни съоръжения за питейни води.</w:t>
      </w:r>
    </w:p>
    <w:p w:rsidR="00A341F5" w:rsidRPr="00A341F5" w:rsidRDefault="00E17587" w:rsidP="00E17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РЗИ – Плевен извършва непрекъснато наблюдение и контролен мониторинг на качеството на питейната вода, подавана за нуждите на населението в град Плевен и областта. Броят на пунктовете, честотата и вида на мониторинга са съобразени с изискванията на Наредба №9/2001 година на МЗ за качеството на водата, предназначена за питейно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битови цели. От 01.01.2019 година територията на община Кнежа, обслужвана от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„Аспарухов вал“ ЕООД,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присъедини към Асоциация по ВиК ЕООД на обособената територия и по тази причина през отчетния период на територията на областта има само един оператор на ВиК системи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„ВиК Плевен“ ЕООД, гр. Плевен. Водоснабдителното дружество разработи програма за мониторинг на питейната вода в Плевенска област за 2019 година и същата беше съгласувана с инспекцията в изпълнение изискванията на чл. 9, ал. 1 на Наредба № 9/2001 година на МЗ.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представената мониторингова програма са определени общо 105 зони на водоснабдяване. От тях 6 зони са с обем на разпределена вода над 1000 куб.м. в денонощие и 99 зони са с обем на разпределена вода под 1000 куб.м.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Съгласно изискванията на МЗ, са категоризирани малки зони, като в категория 1 попадат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39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зони, в категория 2 –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40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зони, в категория 3 – 1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зони и в категория 4 –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зони.</w:t>
      </w:r>
    </w:p>
    <w:p w:rsidR="00A341F5" w:rsidRPr="00A341F5" w:rsidRDefault="00E17587" w:rsidP="00E17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През 2019 година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>пробонабирането от водопроводната мрежа на област Плевен се извърши от 274 пункта съгласно предварително изготвен график, като част от тях бяха променени и актуализирани.</w:t>
      </w:r>
    </w:p>
    <w:p w:rsidR="00A341F5" w:rsidRPr="00A341F5" w:rsidRDefault="00E17587" w:rsidP="00E17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>През отчетния период от страна на „ВиК Плевен“ ЕООД без да е издавана заповед от местните власти беше въведено режимно водоснабдяване в следните общини и населени места: Община Плевен – гр. Плевен, с. Ясен, с. Буковлък, с. Опанец, с. Брестовец, с. Тодорово, с. Къшин и с. Бохот /три месеца – септември, октомври и ноември/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 Община Долна Митрополия – гр. Долна Митрополия, гр. Тръстеник, с. Победа /три месеца – септември, октомври и ноември/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 Община Никопол – с. Муселиево /два месеца - септември и октомври/.</w:t>
      </w:r>
      <w:r w:rsidR="00A341F5" w:rsidRPr="00A3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>За въведения режим МЗ беше информирано ежемесечно чрез изготвяните справки за качеството на питейната вода, подавана за населението на област Плевен.</w:t>
      </w:r>
    </w:p>
    <w:p w:rsidR="00A341F5" w:rsidRPr="00A341F5" w:rsidRDefault="00E17587" w:rsidP="00E17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A341F5"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 отчетната година е изпълнен мониторингът на питейната вода в областта, съгласно представената мониторингова програма на водоснабдителното дружество и осъществения от страна на инспекцията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контролен мониторинг в размер на 100%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с изключение мониторингът по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радиологични показатели и по показател „бромати“, тъй като анализите се извършват в РЗИ – Враца и Столична РЗИ по предварително изготвен график и в определен обем). </w:t>
      </w:r>
      <w:r w:rsidR="00A341F5"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>528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 проби, изпълнението е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>543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 за 2019 година. По показателите на група А са проведени изпитвания на </w:t>
      </w:r>
      <w:r w:rsidR="00A341F5"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426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проби, от които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>332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 отговарят на нормативните изисквания. Обхванати са с минимума показатели по Таблица А към Приложение №2, като за някои зони са включени и показатели, актуални за конкретния регион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 нитрати, хром, манган. По показателите на група Б са изследвани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>117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 проби, от които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 xml:space="preserve">съответстват на нормативните изисквания. Тук са обхванати с всички показатели по Приложение №1 на Наредба №9/2001 година за качеството на водата, предназначена за питейно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</w:rPr>
        <w:t>битови цели.</w:t>
      </w:r>
    </w:p>
    <w:p w:rsidR="00A341F5" w:rsidRPr="00A341F5" w:rsidRDefault="00E17587" w:rsidP="00E17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A341F5"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 показателите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мониторирани в питейните води от страна на инспекцията са извършени общо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14196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изследвания, от които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13999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отговарят на изискванията на Наредба №9/2001 година на МЗ. Съответствието е 98,61% при </w:t>
      </w:r>
      <w:r w:rsidR="00A341F5"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98,49% за 2018 година и 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98,66% за 2017 година. </w:t>
      </w:r>
      <w:r w:rsidR="00A341F5"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Броят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изследванията по микробиологични показатели през годината е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1850.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тях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1824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отговарят на Наредба №9/2001 година. Съответствието е 98,58% при </w:t>
      </w:r>
      <w:r w:rsidR="00A341F5"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97,30% за 2018 година и 97,54% за 2017 година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341F5"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анализите несъответстващи на изискванията, </w:t>
      </w:r>
      <w:r w:rsidR="00A341F5"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19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 по показател колиформи, </w:t>
      </w:r>
      <w:r w:rsidR="00A341F5"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7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по Е.коли, 0 – по Ентерококи и 0 – по МЧ. </w:t>
      </w:r>
      <w:r w:rsidR="00A341F5"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Несъответствието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питейната вода, определено само по здравнозначими микробиологични показатели е 0,4% /съответствие 99,60%/ при 0,9% /съответствие 99,10%/ за 2018 година и 0,6 % /съответствие – 99,40%/ за 2017 година. Във всички случаи,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които е установено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отклонение по микробиологични показатели, са взети съответните мерки от страна на служителите на отдела. Запазва се тенденцията за задържане на високия процент /95% по СЗО/ на съответствие на питейната вода по микробиологични показатели. Това се дължи на подобряване методите на обеззаразяване с въвеждане на автоматично дозиране на дезинфектант в почти всички водоснабдителни системи, нови дезинфектанти с удължено освобождаване на хлор и засиления вътрешно </w:t>
      </w:r>
      <w:r w:rsidR="00A341F5"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="00A341F5"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ведомствен контрол от страна на ръководството на водоснабдителното дружество. За по – добри резултати е необходимо повишаване на отговорността и квалификацията на персонала, пряко ангажирани с тази дейност.</w:t>
      </w:r>
    </w:p>
    <w:p w:rsidR="00A341F5" w:rsidRPr="00A341F5" w:rsidRDefault="00A341F5" w:rsidP="00E175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органолептични и химични показатели са извършени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12346</w:t>
      </w:r>
      <w:r w:rsidRPr="00A341F5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изследвания. От тях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12175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изследвания отговарят на изискванията на Наредба 9/2001 година на МЗ. Съответствието е 98,61% при 98,72% за 2018 година и при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98,80% за 2017 година.</w:t>
      </w:r>
    </w:p>
    <w:p w:rsidR="00A341F5" w:rsidRDefault="00A341F5" w:rsidP="00E175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 проведените анализи през отчетния период се установиха следните отклонения по конкретни показатели в качеството на питейните води:</w:t>
      </w:r>
    </w:p>
    <w:p w:rsidR="00E17587" w:rsidRPr="00A341F5" w:rsidRDefault="00E17587" w:rsidP="00E175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17587" w:rsidRPr="00E17587" w:rsidRDefault="00A341F5" w:rsidP="00A341F5">
      <w:pPr>
        <w:numPr>
          <w:ilvl w:val="0"/>
          <w:numId w:val="1"/>
        </w:numPr>
        <w:tabs>
          <w:tab w:val="clear" w:pos="360"/>
          <w:tab w:val="num" w:pos="993"/>
          <w:tab w:val="left" w:pos="1276"/>
        </w:tabs>
        <w:overflowPunct w:val="0"/>
        <w:autoSpaceDE w:val="0"/>
        <w:autoSpaceDN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Несъответствия по </w:t>
      </w:r>
      <w:r w:rsidRPr="00E1758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микробиологични показатели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са установени в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11 зони на водоснабдяване,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включващи населените места: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587" w:rsidRPr="00E17587" w:rsidRDefault="00E17587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Рупци</w:t>
      </w:r>
      <w:r w:rsidR="00A341F5" w:rsidRPr="00E17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587" w:rsidRPr="00E17587" w:rsidRDefault="00E17587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Бреница</w:t>
      </w:r>
    </w:p>
    <w:p w:rsidR="00E17587" w:rsidRPr="00E17587" w:rsidRDefault="00E17587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Любеново</w:t>
      </w:r>
      <w:r w:rsidR="00A341F5" w:rsidRPr="00E17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587" w:rsidRPr="00E17587" w:rsidRDefault="00E17587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Въбел</w:t>
      </w:r>
    </w:p>
    <w:p w:rsidR="00E17587" w:rsidRPr="00E17587" w:rsidRDefault="00E17587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Буковлък</w:t>
      </w:r>
      <w:r w:rsidR="00A341F5" w:rsidRPr="00E17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587" w:rsidRPr="00E17587" w:rsidRDefault="00E17587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гр. Пордим</w:t>
      </w:r>
      <w:r w:rsidR="00A341F5" w:rsidRPr="00E17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587" w:rsidRPr="00E17587" w:rsidRDefault="00E17587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Каменец</w:t>
      </w:r>
      <w:r w:rsidR="00A341F5" w:rsidRPr="00E17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587" w:rsidRPr="00E17587" w:rsidRDefault="00E17587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Радишево</w:t>
      </w:r>
    </w:p>
    <w:p w:rsidR="00E17587" w:rsidRPr="00E17587" w:rsidRDefault="00E17587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гр. Левски</w:t>
      </w:r>
      <w:r w:rsidR="00A341F5" w:rsidRPr="00E17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587" w:rsidRPr="00E17587" w:rsidRDefault="00E17587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Градище</w:t>
      </w:r>
      <w:r w:rsidR="00A341F5" w:rsidRPr="00E17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587" w:rsidRPr="00E17587" w:rsidRDefault="00A341F5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sz w:val="28"/>
          <w:szCs w:val="28"/>
        </w:rPr>
        <w:t>с. Варана</w:t>
      </w:r>
    </w:p>
    <w:p w:rsidR="00E17587" w:rsidRDefault="00A341F5" w:rsidP="00E17587">
      <w:pPr>
        <w:pStyle w:val="ListParagraph"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sz w:val="28"/>
          <w:szCs w:val="28"/>
        </w:rPr>
        <w:t>с. Девенци.</w:t>
      </w:r>
    </w:p>
    <w:p w:rsidR="00A341F5" w:rsidRDefault="00A341F5" w:rsidP="00E17587">
      <w:pPr>
        <w:pStyle w:val="ListParagraph"/>
        <w:tabs>
          <w:tab w:val="left" w:pos="1276"/>
        </w:tabs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E17587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Броят на зоните, в които са установени отклоненията по микробилогични показатели е </w:t>
      </w:r>
      <w:r w:rsidRPr="00E17587">
        <w:rPr>
          <w:rFonts w:ascii="Times New Roman" w:eastAsia="Times New Roman" w:hAnsi="Times New Roman" w:cs="Times New Roman"/>
          <w:sz w:val="28"/>
          <w:szCs w:val="28"/>
        </w:rPr>
        <w:t>по-малък с 6</w:t>
      </w:r>
      <w:r w:rsidRPr="00E17587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броя</w:t>
      </w:r>
      <w:r w:rsidRPr="00E17587">
        <w:rPr>
          <w:rFonts w:ascii="Times New Roman" w:eastAsia="Times New Roman" w:hAnsi="Times New Roman" w:cs="Times New Roman"/>
          <w:sz w:val="28"/>
          <w:szCs w:val="28"/>
        </w:rPr>
        <w:t xml:space="preserve"> зони</w:t>
      </w:r>
      <w:r w:rsidRPr="00E17587">
        <w:rPr>
          <w:rFonts w:ascii="Times New Roman" w:eastAsia="Times New Roman" w:hAnsi="Times New Roman" w:cs="Times New Roman"/>
          <w:sz w:val="28"/>
          <w:szCs w:val="28"/>
          <w:lang w:val="en-AU"/>
        </w:rPr>
        <w:t>, констатиран</w:t>
      </w:r>
      <w:r w:rsidRPr="00E175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587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през 201</w:t>
      </w:r>
      <w:r w:rsidRPr="00E17587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E17587">
        <w:rPr>
          <w:rFonts w:ascii="Times New Roman" w:eastAsia="Times New Roman" w:hAnsi="Times New Roman" w:cs="Times New Roman"/>
          <w:sz w:val="28"/>
          <w:szCs w:val="28"/>
          <w:lang w:val="en-AU"/>
        </w:rPr>
        <w:t>г</w:t>
      </w:r>
      <w:r w:rsidRPr="00E17587">
        <w:rPr>
          <w:rFonts w:ascii="Times New Roman" w:eastAsia="Times New Roman" w:hAnsi="Times New Roman" w:cs="Times New Roman"/>
          <w:sz w:val="28"/>
          <w:szCs w:val="28"/>
        </w:rPr>
        <w:t>одина</w:t>
      </w:r>
      <w:r w:rsidRPr="00E17587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. Отклоненията продължават да се установяват </w:t>
      </w:r>
      <w:r w:rsidRPr="00E17587">
        <w:rPr>
          <w:rFonts w:ascii="Times New Roman" w:eastAsia="Times New Roman" w:hAnsi="Times New Roman" w:cs="Times New Roman"/>
          <w:sz w:val="28"/>
          <w:szCs w:val="28"/>
        </w:rPr>
        <w:t xml:space="preserve">предимно </w:t>
      </w:r>
      <w:r w:rsidRPr="00E17587">
        <w:rPr>
          <w:rFonts w:ascii="Times New Roman" w:eastAsia="Times New Roman" w:hAnsi="Times New Roman" w:cs="Times New Roman"/>
          <w:sz w:val="28"/>
          <w:szCs w:val="28"/>
          <w:lang w:val="en-AU"/>
        </w:rPr>
        <w:t>в малки населени места с водоснабдителни системи без пречиствателни съоръжения, остарели и амортизирани водопроводни мрежи. Друга причина за несъответствията са констатирани от страна на инспекцията пропуски от субективен характер в обеззаразяването на водата, преди подаването и на консуматорите.</w:t>
      </w:r>
    </w:p>
    <w:p w:rsidR="00E17587" w:rsidRPr="00E17587" w:rsidRDefault="00E17587" w:rsidP="00E17587">
      <w:pPr>
        <w:pStyle w:val="ListParagraph"/>
        <w:tabs>
          <w:tab w:val="left" w:pos="1276"/>
        </w:tabs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7587" w:rsidRDefault="00A341F5" w:rsidP="00E1758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overflowPunct w:val="0"/>
        <w:autoSpaceDE w:val="0"/>
        <w:autoSpaceDN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Несъответствия по показател </w:t>
      </w:r>
      <w:r w:rsidRPr="00E175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„мътност” и „цвят”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са установени в 12 зони на водоснабдяване, обхващащи населените места: </w:t>
      </w:r>
    </w:p>
    <w:p w:rsidR="00E17587" w:rsidRDefault="00E17587" w:rsidP="00E17587">
      <w:pPr>
        <w:pStyle w:val="ListParagraph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гр. Червен бряг</w:t>
      </w:r>
    </w:p>
    <w:p w:rsidR="00E17587" w:rsidRDefault="00A341F5" w:rsidP="00E17587">
      <w:pPr>
        <w:pStyle w:val="ListParagraph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E1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Ракита</w:t>
      </w:r>
    </w:p>
    <w:p w:rsidR="00E17587" w:rsidRDefault="00E17587" w:rsidP="00E17587">
      <w:pPr>
        <w:pStyle w:val="ListParagraph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Реселец</w:t>
      </w:r>
    </w:p>
    <w:p w:rsidR="00E17587" w:rsidRDefault="00E17587" w:rsidP="00E17587">
      <w:pPr>
        <w:pStyle w:val="ListParagraph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Рупци</w:t>
      </w:r>
    </w:p>
    <w:p w:rsidR="00E17587" w:rsidRDefault="00A341F5" w:rsidP="00E17587">
      <w:pPr>
        <w:pStyle w:val="ListParagraph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Згалево</w:t>
      </w:r>
    </w:p>
    <w:p w:rsidR="00E17587" w:rsidRDefault="00A341F5" w:rsidP="00E17587">
      <w:pPr>
        <w:pStyle w:val="ListParagraph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с. Каменец </w:t>
      </w:r>
    </w:p>
    <w:p w:rsidR="00A341F5" w:rsidRDefault="00A341F5" w:rsidP="00E17587">
      <w:pPr>
        <w:pStyle w:val="ListParagraph"/>
        <w:tabs>
          <w:tab w:val="left" w:pos="1134"/>
        </w:tabs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отклоненията са само по показател „мътност”. В гр. Долна Митрополия, гр. Тръстеник, с. Байкал, с. Крета и с. Варана е установено несъответствие и по показател „цвят”. Констатираните отклонения по горецитираните показатели са повече от установените за 2018 година с 6 зони на водоснабдяване. Несъответствията са с непостоянен характер и се отнасят за водоснабдителни системи, подаващи вода от повърхностно разположени водоизточници, за които няма изградени пречиствателни съоръжения, за населени места със стара и амортизирана водопроводна мрежа, както и след извършване на ремонтни дейности.</w:t>
      </w:r>
    </w:p>
    <w:p w:rsidR="00E17587" w:rsidRPr="00E17587" w:rsidRDefault="00E17587" w:rsidP="00E17587">
      <w:pPr>
        <w:pStyle w:val="ListParagraph"/>
        <w:tabs>
          <w:tab w:val="left" w:pos="1134"/>
        </w:tabs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17587" w:rsidRDefault="00A341F5" w:rsidP="00E1758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overflowPunct w:val="0"/>
        <w:autoSpaceDE w:val="0"/>
        <w:autoSpaceDN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Несъответствия</w:t>
      </w:r>
      <w:r w:rsidRPr="00E175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по показател </w:t>
      </w:r>
      <w:r w:rsidRPr="00E175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„магнезий”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3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зони на водоснабдяване са констатираните отклонения: </w:t>
      </w:r>
    </w:p>
    <w:p w:rsidR="00E17587" w:rsidRDefault="00E17587" w:rsidP="00E17587">
      <w:pPr>
        <w:pStyle w:val="ListParagraph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Телиш</w:t>
      </w:r>
    </w:p>
    <w:p w:rsidR="00E17587" w:rsidRDefault="00E17587" w:rsidP="00E17587">
      <w:pPr>
        <w:pStyle w:val="ListParagraph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Изгрев</w:t>
      </w:r>
    </w:p>
    <w:p w:rsidR="00E17587" w:rsidRDefault="00E17587" w:rsidP="00E17587">
      <w:pPr>
        <w:pStyle w:val="ListParagraph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Коиловци</w:t>
      </w:r>
    </w:p>
    <w:p w:rsidR="00E17587" w:rsidRDefault="00E17587" w:rsidP="00E17587">
      <w:pPr>
        <w:pStyle w:val="ListParagraph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Божурлук</w:t>
      </w:r>
    </w:p>
    <w:p w:rsidR="00E17587" w:rsidRDefault="00E17587" w:rsidP="00E17587">
      <w:pPr>
        <w:pStyle w:val="ListParagraph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Одърне</w:t>
      </w:r>
    </w:p>
    <w:p w:rsidR="00E17587" w:rsidRDefault="00E17587" w:rsidP="00E17587">
      <w:pPr>
        <w:pStyle w:val="ListParagraph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Асеновци</w:t>
      </w:r>
    </w:p>
    <w:p w:rsidR="00E17587" w:rsidRDefault="00E17587" w:rsidP="00E17587">
      <w:pPr>
        <w:pStyle w:val="ListParagraph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Борислав</w:t>
      </w:r>
    </w:p>
    <w:p w:rsidR="00E17587" w:rsidRDefault="00E17587" w:rsidP="00E17587">
      <w:pPr>
        <w:pStyle w:val="ListParagraph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Обнова</w:t>
      </w:r>
    </w:p>
    <w:p w:rsidR="00E17587" w:rsidRDefault="00A341F5" w:rsidP="00E17587">
      <w:pPr>
        <w:pStyle w:val="ListParagraph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гр. Левски. </w:t>
      </w:r>
    </w:p>
    <w:p w:rsidR="00A341F5" w:rsidRDefault="00A341F5" w:rsidP="00E17587">
      <w:pPr>
        <w:pStyle w:val="ListParagraph"/>
        <w:tabs>
          <w:tab w:val="left" w:pos="1134"/>
        </w:tabs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Броят на зоните, в които са установени отклоненията е приблизителен с броя, констатиран и през 201</w:t>
      </w:r>
      <w:r w:rsidRPr="00E17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E17587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г</w:t>
      </w:r>
      <w:r w:rsidRPr="00E17587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</w:t>
      </w:r>
      <w:r w:rsidRPr="00E17587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– </w:t>
      </w:r>
      <w:r w:rsidRPr="00E1758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E17587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броя.</w:t>
      </w:r>
      <w:r w:rsidRPr="00E175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Този показател участва в </w:t>
      </w:r>
      <w:r w:rsidRPr="00E175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определянето на твърдостта на водата, като в част от населените места тези отклонения са с персистиращ характер.</w:t>
      </w:r>
    </w:p>
    <w:p w:rsidR="00E17587" w:rsidRPr="00E17587" w:rsidRDefault="00E17587" w:rsidP="00E17587">
      <w:pPr>
        <w:pStyle w:val="ListParagraph"/>
        <w:tabs>
          <w:tab w:val="left" w:pos="1134"/>
        </w:tabs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64F17" w:rsidRDefault="00A341F5" w:rsidP="00E1758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overflowPunct w:val="0"/>
        <w:autoSpaceDE w:val="0"/>
        <w:autoSpaceDN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175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Несъответствие по показател </w:t>
      </w:r>
      <w:r w:rsidRPr="00E175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„манган”</w:t>
      </w:r>
      <w:r w:rsidRPr="00A34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 установено в една г</w:t>
      </w:r>
      <w:r w:rsidR="008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рупова зона на водоснабдяване</w:t>
      </w:r>
    </w:p>
    <w:p w:rsidR="00864F17" w:rsidRDefault="00A341F5" w:rsidP="00864F17">
      <w:pPr>
        <w:pStyle w:val="ListParagraph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Зона №6 /гр. Гулянци, с. Ми</w:t>
      </w:r>
      <w:r w:rsidR="008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лковица, с. Шияково, с. Крета/</w:t>
      </w:r>
    </w:p>
    <w:p w:rsidR="00A341F5" w:rsidRDefault="00A341F5" w:rsidP="00864F17">
      <w:pPr>
        <w:pStyle w:val="ListParagraph"/>
        <w:tabs>
          <w:tab w:val="left" w:pos="851"/>
        </w:tabs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 направените проучвания от страна на водоснабдителното дружество, се установи, че отклонението има сезонен характер. Поради намаленото водно количество през летния сезон и повишеното потребление на вода от населението, с цел избягване режимно водоподаване, „ВиК Плевен” ЕООД използва пълния капацитет на всички водовземни съоръжения от ВГ Крета /3 броя ШК/. Поради непостоянните показатели на съдържанието на манган във водата на някои от водоизточниците, от страна на дружеството в мониторинговата програма за 2020 година и в разработения контролен план на инспекцията е предвиден учестен мониторинг на показателя.</w:t>
      </w:r>
    </w:p>
    <w:p w:rsidR="00864F17" w:rsidRPr="00864F17" w:rsidRDefault="00864F17" w:rsidP="00864F17">
      <w:pPr>
        <w:pStyle w:val="ListParagraph"/>
        <w:tabs>
          <w:tab w:val="left" w:pos="851"/>
        </w:tabs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4F17" w:rsidRDefault="00A341F5" w:rsidP="00864F1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overflowPunct w:val="0"/>
        <w:autoSpaceDE w:val="0"/>
        <w:autoSpaceDN w:val="0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64F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Несъответствие</w:t>
      </w:r>
      <w:r w:rsidRPr="00864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по показател </w:t>
      </w:r>
      <w:r w:rsidRPr="00864F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„флуориди”</w:t>
      </w:r>
      <w:r w:rsidRPr="00A3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констатирано в една зона </w:t>
      </w:r>
    </w:p>
    <w:p w:rsidR="00864F17" w:rsidRDefault="00A341F5" w:rsidP="00864F17">
      <w:pPr>
        <w:pStyle w:val="ListParagraph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64F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Лазарово</w:t>
      </w:r>
    </w:p>
    <w:p w:rsidR="00A341F5" w:rsidRDefault="00A341F5" w:rsidP="00864F17">
      <w:pPr>
        <w:pStyle w:val="ListParagraph"/>
        <w:tabs>
          <w:tab w:val="left" w:pos="851"/>
        </w:tabs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64F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което е с постоянен характер за населеното място, като през 2016 година е бил установен резултат 2,45 мг/л, през 2017 година – 1,96 мг/л, а през 2018 година – 2,00 мг/л, а през отчетния период – 1,91 мг/л.</w:t>
      </w:r>
    </w:p>
    <w:p w:rsidR="00864F17" w:rsidRPr="00864F17" w:rsidRDefault="00864F17" w:rsidP="00864F17">
      <w:pPr>
        <w:pStyle w:val="ListParagraph"/>
        <w:tabs>
          <w:tab w:val="left" w:pos="851"/>
        </w:tabs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64F17" w:rsidRPr="00864F17" w:rsidRDefault="00A341F5" w:rsidP="00864F1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overflowPunct w:val="0"/>
        <w:autoSpaceDE w:val="0"/>
        <w:autoSpaceDN w:val="0"/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F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Отклонения по показател </w:t>
      </w:r>
      <w:r w:rsidRPr="00864F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„нитрати”</w:t>
      </w:r>
      <w:r w:rsidRPr="00A34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през 2019 година</w:t>
      </w:r>
      <w:r w:rsidRPr="00A34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 показали 20 зони на водоснабдяване при 24 зони за 2018 година. В тях попадат населените места</w:t>
      </w:r>
      <w:r w:rsidR="00864F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Горник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гр. Койнаре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Изгрев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Божурица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Драгаш войвода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Згалево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Одърне</w:t>
      </w:r>
    </w:p>
    <w:p w:rsidR="00864F17" w:rsidRP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гр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. Долна Митрополия</w:t>
      </w:r>
    </w:p>
    <w:p w:rsidR="00864F17" w:rsidRPr="00864F17" w:rsidRDefault="00A341F5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гр</w:t>
      </w:r>
      <w:proofErr w:type="gramEnd"/>
      <w:r w:rsidR="008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. Тръстеник</w:t>
      </w:r>
    </w:p>
    <w:p w:rsidR="00864F17" w:rsidRP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с. Победа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Мечка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Обнова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Гиген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Радишево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Тученица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Градина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Каменец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Пелишат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Борислав</w:t>
      </w:r>
    </w:p>
    <w:p w:rsidR="00864F17" w:rsidRDefault="00864F17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Катерица</w:t>
      </w:r>
    </w:p>
    <w:p w:rsidR="00864F17" w:rsidRDefault="00A341F5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Биволаре</w:t>
      </w:r>
    </w:p>
    <w:p w:rsidR="00864F17" w:rsidRDefault="00A341F5" w:rsidP="00864F17">
      <w:pPr>
        <w:pStyle w:val="ListParagraph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с. Буковлък. </w:t>
      </w:r>
    </w:p>
    <w:p w:rsidR="00A341F5" w:rsidRPr="00864F17" w:rsidRDefault="00A341F5" w:rsidP="00864F17">
      <w:pPr>
        <w:pStyle w:val="ListParagraph"/>
        <w:tabs>
          <w:tab w:val="left" w:pos="1134"/>
        </w:tabs>
        <w:overflowPunct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пробите на 6 населени места - с. Черквица, гр. Пордим, с. Тотлебен, с. Горталово, с. Петърница и с. Гривица, в които през 2018 година е установено превишаване на граничните норми, през отчетния период извършените анализи не са показали отклонения по горецитирания показател. Независимо от това в цитираните селища показателят ще бъде мониториран с показателите от група А, поради липса на изготвена оценка на риска от страна на ВиК ЕООД. </w:t>
      </w:r>
      <w:r w:rsidRPr="00864F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Насоченият мониторинг по този показател ще продължи и през 2020 година, като при наличие на новооткрити зони ще се извършва учестен мониторинг, с цел уточняване степента и персистиране на отклонението. </w:t>
      </w:r>
    </w:p>
    <w:p w:rsidR="00A341F5" w:rsidRPr="00A341F5" w:rsidRDefault="00A341F5" w:rsidP="00864F1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>Замърсяването с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>нитрати се среща във водите на плитки подземни водоизточници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>(извори, кладенци, сондажи), разположени в местности с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обработваеми земеделски земи или черпещи вода от незащитени водоносни хоризонти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. Тъй като област Плевен е район с развита селскостопанска дейност и интензивно земеделие, основната причина за повишаване на този показател е свързана с неправилното използване на азотни минерални торове и неправилна земеделска и животновъдна практика.</w:t>
      </w:r>
      <w:r w:rsidRPr="00A341F5">
        <w:rPr>
          <w:rFonts w:ascii="Times New Roman" w:eastAsia="Times New Roman" w:hAnsi="Times New Roman" w:cs="Times New Roman"/>
          <w:color w:val="FF0000"/>
          <w:sz w:val="28"/>
          <w:szCs w:val="28"/>
          <w:lang w:val="en-AU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първи път отклонения в качеството на питейните води на територията на област Плевен по показател „нитрати“ е установено от инспекцията през 2006 година.</w:t>
      </w:r>
    </w:p>
    <w:p w:rsidR="00A341F5" w:rsidRPr="00A341F5" w:rsidRDefault="00A341F5" w:rsidP="00864F1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През 2017 година се инициираха срещи с местната власт за създаването на комисии с представители от ВиК, Басейнова дирекция, МОСВ, МЗ и др., за ограничаването на използването на синтетични торове при селскостопанска дейност и въвеждането на добри земеделски практики в санитарно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охранителните пояси на водоизточниците на селищата с нестандартност на питейната вода по показател нитрати. За решаване на проблема са нужни законодателни промени за стриктно спазване на забраните и ограниченията на торене във всички пояси на санитарно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охранителните зони на водоизточниците за питейно водоснабдяване, стимулиране собствениците на имоти в СОЗ за екологично земеделие, както и санкции, налагани от компетентните институции на нарушителите.</w:t>
      </w:r>
    </w:p>
    <w:p w:rsidR="00A341F5" w:rsidRDefault="00A341F5" w:rsidP="00864F1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Допълнително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РЗИ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Плевен, съвместно с „ВиК Плевен” ЕООД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продължават да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оказват съдействие на катедра „Хигиена, медицинска екология, професионални заболявания и МБС“ към МУ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Плевен, която от 2016 г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одина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провежда проучване на качеството на питейната вода, добивана от подземните тела в Плевенска област, в частност наличието на нитрати и зависимостта им от използване на синтетични торове.</w:t>
      </w:r>
    </w:p>
    <w:p w:rsidR="00864F17" w:rsidRPr="00A341F5" w:rsidRDefault="00864F17" w:rsidP="00864F1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864F17" w:rsidRPr="00864F17" w:rsidRDefault="00A341F5" w:rsidP="00864F17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864F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Отклонения по показател </w:t>
      </w:r>
      <w:r w:rsidRPr="00864F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„хром”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през 201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</w:t>
      </w:r>
      <w:r w:rsidRPr="00A34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са показали 16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зони на водоснабдяване при 16 за 201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година. В тях са включени населените места: </w:t>
      </w:r>
    </w:p>
    <w:p w:rsidR="00864F17" w:rsidRPr="00864F17" w:rsidRDefault="00A341F5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864F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Новачене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Асеново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Дебово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Божурица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Дъбован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Черквица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с. Божурлук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Стежерово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Татари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Славовица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Долни Вит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с.Муселиево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Евлогиево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Гиген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Искър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Брест</w:t>
      </w:r>
    </w:p>
    <w:p w:rsidR="00864F17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Загражден</w:t>
      </w:r>
    </w:p>
    <w:p w:rsidR="00A341F5" w:rsidRPr="00864F17" w:rsidRDefault="00864F17" w:rsidP="00864F17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Петокладенци</w:t>
      </w:r>
    </w:p>
    <w:p w:rsidR="00A341F5" w:rsidRPr="00A341F5" w:rsidRDefault="00A341F5" w:rsidP="00864F1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Касае се за зони с трайни отклонения по показателя, на които ежегодно се извършва учестен мониторинг. </w:t>
      </w:r>
    </w:p>
    <w:p w:rsidR="00A341F5" w:rsidRPr="00A341F5" w:rsidRDefault="00A341F5" w:rsidP="00864F17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две от зоните са установени отклонения и по двата показателя – 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„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хром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”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„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нитрати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”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Населените места, попадащи в тези зони на водоснабдяване са, с. Божурица, с. Гиген и с. Искър. </w:t>
      </w:r>
    </w:p>
    <w:p w:rsidR="00A341F5" w:rsidRPr="00A341F5" w:rsidRDefault="00A341F5" w:rsidP="00864F17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Наличието на хром в питейните води на област Плевен е с естествен произход. Изследванията на подпочвените води, доказват наднормено съдържание на хром в плитки и дълбоки подпочвени води на някои общини на областта. Това прави изключването на водоизточници и разреждането им с води от други водоизточници нецелесъобразно.</w:t>
      </w:r>
    </w:p>
    <w:p w:rsidR="00A341F5" w:rsidRPr="00A341F5" w:rsidRDefault="00A341F5" w:rsidP="00864F1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ab/>
        <w:t>За отстраняване на нестандартността по показател хром, от 2012 г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одина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„ВиК Плевен” ЕООД съдейства на проф. </w:t>
      </w:r>
      <w:proofErr w:type="gramStart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д-р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инж. Калинков и гл.ас. </w:t>
      </w:r>
      <w:proofErr w:type="gramStart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д-р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инж. Ангелова от УАСГ, за разработването на модулна пилотна инсталация за отстраняването на хром на принципа на йонния обмен. Разработката е публикувана и подробно описана в изданието на БАВ, БУЛАКВА №3 от 2016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г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одина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. </w:t>
      </w:r>
    </w:p>
    <w:p w:rsidR="00A341F5" w:rsidRPr="00A341F5" w:rsidRDefault="00A341F5" w:rsidP="008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 област Плевен проблемът с естественото наднормено съдържание на хром и нитрати в питейните води на редица селища датира отдавна. Още през 2008 година са определени 26 зони на водоснабдяване с трайни отклонения по тези показатели. Обемът на разпределената вода в тях е под 1000 куб.м. в денонощие и са с постоянно живеещо население, свързано към водоснабдителната система под 5000 души. С предписание на РЗИ – Плевен  / РИОКОЗ – Плевен/ изх. №ЗК-05-0102/21.02.2008 година., от страна на „ВиК Плевен” ЕООД е стартира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 процедура и са депозирани заявления в МЗ за издаване на разрешения за ползване на питейна вода с отклонения от изискванията за качество. От началото на 2008 година между „ВиК Плевен” ЕООД и МЗ се води кореспонденция по казуса, но до 2010 година Министерство на здравеопазването не е издало разрешение за ползване на вода за питейно-битови цели с отклонение от изискванията нито за една от зоните на водоснабдяване, за които водоснабдителното дружество е депозирало заявления в МЗ, поради обстоятелството, че представената документация не отговаря изцяло на изискванията на чл. 11 от Наредба №9 на МЗ – мерките, които са предложени за отстраняване на отклоненията не дават гаранция, че проблемът ще бъде разрешен в рамките на тригодишен период, както и не е представен </w:t>
      </w:r>
      <w:r w:rsidRPr="00A34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точен и ясен календарен график за предвидените дейности, които ще бъдат извършени, с финансови разчети за реализацията им.</w:t>
      </w:r>
    </w:p>
    <w:p w:rsidR="00A341F5" w:rsidRPr="00A341F5" w:rsidRDefault="00A341F5" w:rsidP="00864F1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color w:val="C00000"/>
          <w:sz w:val="28"/>
          <w:szCs w:val="28"/>
          <w:lang w:val="en-AU"/>
        </w:rPr>
        <w:tab/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установените трайни отклонения по химични показатели в област Плевен са информирани местните власти на засегнатите общини и населението, живеещо в тях чрез бюлетина на инспекцията, който се актуализира ежеседмично с резултати от извършения мониторинг на качествата на питейната вода в областта. </w:t>
      </w:r>
    </w:p>
    <w:p w:rsidR="00A341F5" w:rsidRDefault="00A341F5" w:rsidP="00864F1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sz w:val="28"/>
          <w:szCs w:val="28"/>
        </w:rPr>
        <w:tab/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В проекта на Бизнес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плана за 2017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2021 г. на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ВиК Плевен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ЕООД се планира инвестирането на средства в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она № 11, с.Татари и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она №10, с.Петокладенци и с.Стежерово, където питейната вода е нестандартна по показател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хром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. Вариантът с изграждане на дълбоки сондажи, е свързан с тежки, скъпи и мудни процедури за отчуждаване на терени за СОЗ и отреждане на сервитути на трасета на инфраструктурата, както и по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големи финансови средства и липса на гаранция за качествата на водата, добита от тях. От страна на ВиК ведомството е избран вариантът за монтиране на модулни пречиствателни съоръжения в посочените две зони. Нужните финансови средства са 200 хил. </w:t>
      </w:r>
      <w:proofErr w:type="gramStart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лв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. </w:t>
      </w:r>
      <w:proofErr w:type="gramStart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за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зона, като всеки проект ще се изпълни в рамките на две години. Предвид пилотния характер на двата проекта, след реализирането им и установяване реално на ефективността на вложените инвестиции, ще се планират средства за модулни ПСПВ през следващите регулаторни периоди за останалите зони на водоснабдяване с установени отклонения по показател хром.</w:t>
      </w:r>
    </w:p>
    <w:p w:rsidR="00864F17" w:rsidRPr="00A341F5" w:rsidRDefault="00864F17" w:rsidP="00864F1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864F17" w:rsidRDefault="00A341F5" w:rsidP="00864F17">
      <w:pPr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>Отклонения по</w:t>
      </w:r>
      <w:r w:rsidRPr="00864F1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AU"/>
        </w:rPr>
        <w:t xml:space="preserve">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>„</w:t>
      </w:r>
      <w:r w:rsidRPr="00864F17">
        <w:rPr>
          <w:rFonts w:ascii="Times New Roman" w:eastAsia="Times New Roman" w:hAnsi="Times New Roman" w:cs="Times New Roman"/>
          <w:b/>
          <w:i/>
          <w:sz w:val="28"/>
          <w:szCs w:val="28"/>
          <w:lang w:val="en-AU"/>
        </w:rPr>
        <w:t>радиологични”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показатели</w:t>
      </w:r>
      <w:r w:rsidR="00864F17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:rsidR="00A341F5" w:rsidRPr="00A341F5" w:rsidRDefault="00A341F5" w:rsidP="00864F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В изпълнение указания на МЗ, дадени с писмо № 04-08-24/22.02.2018г. </w:t>
      </w:r>
      <w:proofErr w:type="gramStart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относно изразена от страна на РЗИ – Плевен необходимост от получаване на методични указания и съгласуване на последващи действия, касаещи проби питейни води, показали двукратно отклонение по показател „обща алфа активност“, инспекцията съгласува график и с радиологичния отдел на НЦРРЗ и през месец ноември служители на инспекцията предоставиха за лабораторен анализ 5 броя проби за изследване по радиологични показатели, приети с вх.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№МОН-02-127/20.11.2018г. </w:t>
      </w:r>
    </w:p>
    <w:p w:rsidR="00A341F5" w:rsidRPr="00A341F5" w:rsidRDefault="00A341F5" w:rsidP="00864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На 12.02.2019 г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одина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в РЗИ – Плевен са получени протоколи и сертификат за контрол с резултати от изпитванията по радиологични показатели, както и изразено становище от експертите относно установените за пореден път завишени стойности на контролните нива на показател „обща алфа активност“ и препоръча извършването на допълнителни анализи на конкретни радионуклиди на всички проби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от населените места гр. Славяново, с. Телиш, с. Горна Митрополия, с. Оряховица и с. Обнова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както и последващо изчисляване на индикативната доза, съгласно реда, определен в Наредба №9/2001г. </w:t>
      </w:r>
      <w:proofErr w:type="gramStart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за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качеството на водата, предназначена за питейно-битови цели.</w:t>
      </w:r>
    </w:p>
    <w:p w:rsidR="00A341F5" w:rsidRPr="00A341F5" w:rsidRDefault="00A341F5" w:rsidP="00864F17">
      <w:pPr>
        <w:shd w:val="clear" w:color="auto" w:fill="FFFFFF"/>
        <w:tabs>
          <w:tab w:val="num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Във връзка с гореизложеното и на основание чл. </w:t>
      </w:r>
      <w:proofErr w:type="gramStart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10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ал.1 от Наредба №9/2001г. </w:t>
      </w:r>
      <w:proofErr w:type="gramStart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от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страна на РЗИ - Плевен е издадено предписание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изх. №ЗП-01-24/28.02.2019 година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до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ВиК Плевен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ЕООД, с което е разпоредено стартиране на проучване, включващо нормативно определените мерки, съгласно забележките на Таблица Г2 към Приложение №1 и Приложения №2а и 2б от горецитираната наредба, включително започване на събиране на необходимата информация за възможните източници на радиоактивност в проучваните райони,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lastRenderedPageBreak/>
        <w:t>с цел установяване на причините, довели до несъответствието, за резултатите от което да уведомят инспекцията своевременно, в срок не по-дълъг от 3 дни след приключването му.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В изпълнение на т.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1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на предписаните мероприятия, с писмо изх. №У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814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/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.201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г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одина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„ВиК Плевен</w:t>
      </w:r>
      <w:proofErr w:type="gramStart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“ ЕООД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предостави в инспекцията протоколи с резултати с извършени допълнителни анализи на конкретни радионуклиди и последващо изчисляване на индикативна доза. Получените резултати показват, че индикативната доза в изследваните проби е под параметричната стойност, определена в Наредба №9/2001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г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одина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:rsidR="00A341F5" w:rsidRPr="00A341F5" w:rsidRDefault="00A341F5" w:rsidP="00864F17">
      <w:pPr>
        <w:shd w:val="clear" w:color="auto" w:fill="FFFFFF"/>
        <w:tabs>
          <w:tab w:val="num" w:pos="851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В изпълнение мониторинга по радиологични показатели за 201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г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одина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от страна на водоснабдителното дружество са предоставени резултати от извършените анализи, при прегледа на които се установи, че пробите от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населени места са показали превишение на нормативно определената стойност по показател „Обща алфа активност“.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а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четири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от населените места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се установи, че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през 2018 г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одина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са извършвани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допълнителни анализи на конкретни радионуклиди и изчисляване на индикативна зона, доказващи липсата на отклонение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от нормативните изисквания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.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По тази причина о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т страна на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инспекцията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са изпратени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протоколите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с анализи от останалите населени места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в РЗИ – Враца за предоставяне на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дравно заключение от специалистите на радиологичния отдел.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За седем населени места /с. Божурлук, с. Рупци, с. Малчика, с. Загражден, с. Божурица, с. Борислав, с. Глава/ е издадено заключение, че „завишеното ниво на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„Обща алфа активност“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се дължи предимно на естествен уран и неговите дъщерни продукти, като е възможно да присъстват и други алфа нуклиди, които са в незначително съдържание по отношение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индикативната доза и затова не е необходим допълнителен анализ“. За четири населени места – с. Сомовит, с. Лозица, с. Вълчитрън и гр. Койнаре е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препоръча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извършването на допълнителни анализи на конкретни радионуклиди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основание становищата на РЗИ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–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>Враца, от страна на инспекцията са издадени предписания №№ЗП-01-17/08.02.2019г.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>ЗП-01-110/21.08.2019г.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ЗП-01-112/29.08.2019г. и ЗП-01-113/04.09.2019г. до водоснабдителното дружество за стартиране на проучване с цел установяване на причините, довели до отклонението за горецитираните населени места. С писма №№ У814/17.04.2019г. и У2822/05.11.2019г.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„ВиК Плевен</w:t>
      </w:r>
      <w:proofErr w:type="gramStart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“ ЕООД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изпрати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в инспекцията протоколи с резултати с извършени допълнителни анализи на конкретни радионуклиди и последващо изчисляване на индикативна доза. Получените резултати показ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аха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, че индикативната доза в изследваните проби е под параметричната стойност, определена в Наредба №9/2001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г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одина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:rsidR="00A341F5" w:rsidRPr="00A341F5" w:rsidRDefault="00A341F5" w:rsidP="00864F1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констатираните от страна на двете ведомства превишавания на контролните нива на показател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„Обща алфа активност“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, както и за предприетите действия от страна на двете ведомства МЗ е уведомено своевременно.</w:t>
      </w:r>
    </w:p>
    <w:p w:rsidR="00A341F5" w:rsidRPr="00A341F5" w:rsidRDefault="00A341F5" w:rsidP="00864F1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sz w:val="28"/>
          <w:szCs w:val="28"/>
        </w:rPr>
        <w:tab/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През настоящия отчетен период от страна на инспекцията не се е наложило спиране на водоподаването или ограничаване употребата на питейна вода в нито едно от населените места на област Плевен, свързано с установени отклонения в качеството на водата, които да създават потенциална опасност за здравето на населението. За периода 01.01. – 31.12.201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г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одина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от служителите на инспекцията са извършени </w:t>
      </w:r>
      <w:proofErr w:type="gramStart"/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>763</w:t>
      </w:r>
      <w:r w:rsidRPr="00A341F5">
        <w:rPr>
          <w:rFonts w:ascii="Times New Roman" w:eastAsia="Times New Roman" w:hAnsi="Times New Roman" w:cs="Times New Roman"/>
          <w:color w:val="FF0000"/>
          <w:sz w:val="28"/>
          <w:szCs w:val="28"/>
          <w:lang w:val="en-AU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проверки</w:t>
      </w:r>
      <w:proofErr w:type="gramEnd"/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на водоизточници, водоснабдителни обекти и съоръжения за питейно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битово водоснабдяване на територията на областта. Издадени са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предписания, свързани с провеждане на оздравителни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lastRenderedPageBreak/>
        <w:t xml:space="preserve">мероприятия, предоставяне на данни от страна на водоснабдителните дружества за извършвания от тях мониторинг на питейна вода, за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>провеждане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на проучвания и предприемане на мерки от ВиК операторите в резултат на установени от инспекцията отклонения в качеството на подаваната вода. За констатирани несъответствия в качествата на питейна вода по микробиологични показатели, както и за други нарушения на здравните изисквания са съставени 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341F5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en-AU"/>
        </w:rPr>
        <w:t>акта за административно нарушение.</w:t>
      </w:r>
    </w:p>
    <w:p w:rsidR="00A341F5" w:rsidRPr="00A341F5" w:rsidRDefault="00A341F5" w:rsidP="00864F17">
      <w:pPr>
        <w:tabs>
          <w:tab w:val="left" w:pos="567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F5">
        <w:rPr>
          <w:rFonts w:ascii="Arial" w:eastAsia="Times New Roman" w:hAnsi="Arial" w:cs="Times New Roman"/>
          <w:b/>
          <w:sz w:val="28"/>
          <w:szCs w:val="28"/>
        </w:rPr>
        <w:tab/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искане на МЗ с писмо изх. №16-00-34/05.04.2019 година и в изпълнение на чл. 14, ал.5 от Наредба №9/2001 година са въведени и данните в информационната система за събиране и анализ на резултатите от провеждания мониторинг на качеството на питейните води 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в съответствие с изискванията за докладване на Европейската комисия </w:t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>за извършения от РЗИ и водоснабдителната организация мониторинг на питейната вода във всички зони на водоснабдяване</w:t>
      </w:r>
      <w:r w:rsidRPr="00A341F5">
        <w:rPr>
          <w:rFonts w:ascii="Times New Roman" w:eastAsia="Times New Roman" w:hAnsi="Times New Roman" w:cs="Times New Roman"/>
          <w:sz w:val="28"/>
          <w:szCs w:val="28"/>
        </w:rPr>
        <w:t xml:space="preserve"> за 2018 г.</w:t>
      </w:r>
    </w:p>
    <w:p w:rsidR="00864F17" w:rsidRDefault="00864F17" w:rsidP="00A341F5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A341F5" w:rsidRPr="00A341F5" w:rsidRDefault="00A341F5" w:rsidP="00637DB7">
      <w:pPr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>През 20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 xml:space="preserve">20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>г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>одина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от страна на РЗИ – Плевен ще продължи извършването на систематичен и насочен контрол на състоянието и поддържането на водоизточниците, водоснабдителните съоръжения и санитарно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4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–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охранителните им зони, както и ще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>осъществява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контролно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мониториране на качествата на питейната вода, подавана за населението на областта.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 xml:space="preserve">Ще продължи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>засиления контрол за изпълнение в пълен обем на мониторинга на питейните води от страна на водоснабдителното дружество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съгласно изискванията на Наредба № 9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>на МЗ и в съответствие със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съгласуван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>ата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с РЗИ –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>Плевен мониторингов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програм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>.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>При приоритизиране на зоните на водоснабдяване по отношение на мониторинга</w:t>
      </w:r>
      <w:proofErr w:type="gramStart"/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първостепенен</w:t>
      </w:r>
      <w:proofErr w:type="gramEnd"/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приоритет ще са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>тези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с </w:t>
      </w:r>
      <w:r w:rsidRPr="00864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AU"/>
        </w:rPr>
        <w:t xml:space="preserve">трайни отклонения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>от изискванията на Приложение № 1, Таблица Б на Наредба №9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 xml:space="preserve">/2001г.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</w:t>
      </w:r>
      <w:proofErr w:type="gramStart"/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>на</w:t>
      </w:r>
      <w:proofErr w:type="gramEnd"/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МЗ. Във всички случаи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 xml:space="preserve"> ще бъде спазен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ангажимент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>ът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на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 xml:space="preserve">РЗИ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>–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 xml:space="preserve"> Плевен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  <w:lang w:val="en-AU"/>
        </w:rPr>
        <w:t xml:space="preserve"> да информира потребителите </w:t>
      </w:r>
      <w:r w:rsidRPr="00864F17">
        <w:rPr>
          <w:rFonts w:ascii="Times New Roman" w:eastAsia="Times New Roman" w:hAnsi="Times New Roman" w:cs="Times New Roman"/>
          <w:i/>
          <w:sz w:val="28"/>
          <w:szCs w:val="28"/>
        </w:rPr>
        <w:t>при възникнали</w:t>
      </w:r>
      <w:r w:rsidRPr="00864F17">
        <w:rPr>
          <w:rFonts w:ascii="Times New Roman" w:eastAsia="Times New Roman" w:hAnsi="Times New Roman" w:cs="Times New Roman"/>
          <w:i/>
          <w:sz w:val="28"/>
          <w:szCs w:val="20"/>
          <w:lang w:val="en-AU"/>
        </w:rPr>
        <w:t xml:space="preserve"> инциденти</w:t>
      </w:r>
      <w:r w:rsidRPr="00864F17">
        <w:rPr>
          <w:rFonts w:ascii="Times New Roman" w:eastAsia="Times New Roman" w:hAnsi="Times New Roman" w:cs="Times New Roman"/>
          <w:i/>
          <w:sz w:val="28"/>
          <w:szCs w:val="20"/>
        </w:rPr>
        <w:t>,</w:t>
      </w:r>
      <w:r w:rsidRPr="00864F17">
        <w:rPr>
          <w:rFonts w:ascii="Times New Roman" w:eastAsia="Times New Roman" w:hAnsi="Times New Roman" w:cs="Times New Roman"/>
          <w:i/>
          <w:sz w:val="28"/>
          <w:szCs w:val="20"/>
          <w:lang w:val="en-AU"/>
        </w:rPr>
        <w:t xml:space="preserve"> водещи до здравен риск за</w:t>
      </w:r>
      <w:r w:rsidRPr="00864F17">
        <w:rPr>
          <w:rFonts w:ascii="Times New Roman" w:eastAsia="Times New Roman" w:hAnsi="Times New Roman" w:cs="Times New Roman"/>
          <w:i/>
          <w:sz w:val="28"/>
          <w:szCs w:val="20"/>
        </w:rPr>
        <w:t xml:space="preserve"> населението и</w:t>
      </w:r>
      <w:r w:rsidRPr="00864F17">
        <w:rPr>
          <w:rFonts w:ascii="Times New Roman" w:eastAsia="Times New Roman" w:hAnsi="Times New Roman" w:cs="Times New Roman"/>
          <w:i/>
          <w:sz w:val="28"/>
          <w:szCs w:val="20"/>
          <w:lang w:val="en-AU"/>
        </w:rPr>
        <w:t xml:space="preserve"> за ко</w:t>
      </w:r>
      <w:r w:rsidRPr="00864F17">
        <w:rPr>
          <w:rFonts w:ascii="Times New Roman" w:eastAsia="Times New Roman" w:hAnsi="Times New Roman" w:cs="Times New Roman"/>
          <w:i/>
          <w:sz w:val="28"/>
          <w:szCs w:val="20"/>
        </w:rPr>
        <w:t>и</w:t>
      </w:r>
      <w:r w:rsidRPr="00864F17">
        <w:rPr>
          <w:rFonts w:ascii="Times New Roman" w:eastAsia="Times New Roman" w:hAnsi="Times New Roman" w:cs="Times New Roman"/>
          <w:i/>
          <w:sz w:val="28"/>
          <w:szCs w:val="20"/>
          <w:lang w:val="en-AU"/>
        </w:rPr>
        <w:t>то е</w:t>
      </w:r>
      <w:r w:rsidRPr="00864F17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864F17">
        <w:rPr>
          <w:rFonts w:ascii="Times New Roman" w:eastAsia="Times New Roman" w:hAnsi="Times New Roman" w:cs="Times New Roman"/>
          <w:i/>
          <w:sz w:val="28"/>
          <w:szCs w:val="20"/>
          <w:lang w:val="en-AU"/>
        </w:rPr>
        <w:t>необходимо предприемане на действия от страна на инспекцията, свързани с огранич</w:t>
      </w:r>
      <w:r w:rsidRPr="00864F17">
        <w:rPr>
          <w:rFonts w:ascii="Times New Roman" w:eastAsia="Times New Roman" w:hAnsi="Times New Roman" w:cs="Times New Roman"/>
          <w:i/>
          <w:sz w:val="28"/>
          <w:szCs w:val="20"/>
        </w:rPr>
        <w:t>аване</w:t>
      </w:r>
      <w:r w:rsidRPr="00864F17">
        <w:rPr>
          <w:rFonts w:ascii="Times New Roman" w:eastAsia="Times New Roman" w:hAnsi="Times New Roman" w:cs="Times New Roman"/>
          <w:i/>
          <w:sz w:val="28"/>
          <w:szCs w:val="20"/>
          <w:lang w:val="en-AU"/>
        </w:rPr>
        <w:t xml:space="preserve"> или преустановяване на водоподаването.</w:t>
      </w:r>
    </w:p>
    <w:p w:rsidR="00A341F5" w:rsidRPr="00A341F5" w:rsidRDefault="00A341F5" w:rsidP="00A341F5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A341F5" w:rsidRPr="00A341F5" w:rsidRDefault="00A341F5" w:rsidP="00A341F5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A341F5" w:rsidRPr="00A341F5" w:rsidRDefault="00A341F5" w:rsidP="00A341F5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bookmarkStart w:id="0" w:name="_GoBack"/>
      <w:bookmarkEnd w:id="0"/>
    </w:p>
    <w:sectPr w:rsidR="00A341F5" w:rsidRPr="00A341F5" w:rsidSect="00E1758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2846"/>
    <w:multiLevelType w:val="hybridMultilevel"/>
    <w:tmpl w:val="7934637A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030945"/>
    <w:multiLevelType w:val="hybridMultilevel"/>
    <w:tmpl w:val="74DE0B48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2E61BC7"/>
    <w:multiLevelType w:val="hybridMultilevel"/>
    <w:tmpl w:val="47E2FB8E"/>
    <w:lvl w:ilvl="0" w:tplc="3B66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3AC6DA3"/>
    <w:multiLevelType w:val="hybridMultilevel"/>
    <w:tmpl w:val="BA90DD60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71543F0"/>
    <w:multiLevelType w:val="hybridMultilevel"/>
    <w:tmpl w:val="3A2ABD54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82E60E0"/>
    <w:multiLevelType w:val="hybridMultilevel"/>
    <w:tmpl w:val="9050E0D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F5"/>
    <w:rsid w:val="00637DB7"/>
    <w:rsid w:val="00675454"/>
    <w:rsid w:val="00864F17"/>
    <w:rsid w:val="009B27BC"/>
    <w:rsid w:val="00A341F5"/>
    <w:rsid w:val="00B90A65"/>
    <w:rsid w:val="00E1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39BA1B-2B99-4212-9067-19B43A0F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</dc:creator>
  <cp:keywords/>
  <dc:description/>
  <cp:lastModifiedBy>Alexandrina</cp:lastModifiedBy>
  <cp:revision>3</cp:revision>
  <dcterms:created xsi:type="dcterms:W3CDTF">2020-04-06T12:47:00Z</dcterms:created>
  <dcterms:modified xsi:type="dcterms:W3CDTF">2020-04-07T06:29:00Z</dcterms:modified>
</cp:coreProperties>
</file>