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26" w:rsidRPr="00A341F5" w:rsidRDefault="001A5A26" w:rsidP="001A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ДОКЛАД</w:t>
      </w:r>
    </w:p>
    <w:p w:rsidR="001A5A26" w:rsidRDefault="001A5A26" w:rsidP="001A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КАЧЕСТВОТО НА ВОДАТА, ПРЕДНАЗНАЧЕНА </w:t>
      </w:r>
    </w:p>
    <w:p w:rsidR="001A5A26" w:rsidRDefault="001A5A26" w:rsidP="001A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ПИТЕЙНО-БИТОВИ ЦЕЛИ НА ТЕРИТОРИЯТА </w:t>
      </w:r>
    </w:p>
    <w:p w:rsidR="001A5A26" w:rsidRPr="001A5A26" w:rsidRDefault="001A5A26" w:rsidP="001A5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НА ОБЛАСТ ПЛЕВЕН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22г.</w:t>
      </w:r>
    </w:p>
    <w:p w:rsidR="00023291" w:rsidRDefault="00023291" w:rsidP="00023291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:rsidR="00023291" w:rsidRPr="00023291" w:rsidRDefault="00023291" w:rsidP="001E7C2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Водоснабдяването на населението на област Плевен </w:t>
      </w:r>
      <w:proofErr w:type="gramStart"/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вода</w:t>
      </w:r>
      <w:proofErr w:type="gramEnd"/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питейно – битови цели се осъществява от 43</w:t>
      </w:r>
      <w:r w:rsidR="00213A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bookmarkStart w:id="0" w:name="_GoBack"/>
      <w:bookmarkEnd w:id="0"/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централни водоизточника, а броят на водоснабдителните обекти и съоръжения е 326, като на територията, контролирана от инспекцията няма повърхностни водоизточници. Всички са регистрирани по реда на Наредба №9/2005 година на МЗ. На територията, контролирана от инспекцията няма изградени и функциониращи пречиствателни съоръжения за питейни води.</w:t>
      </w:r>
    </w:p>
    <w:p w:rsidR="00023291" w:rsidRPr="00023291" w:rsidRDefault="00023291" w:rsidP="001E7C2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РЗИ – Плевен извършва непрекъснато наблюдение и контролен мониторинг на качеството на питейната вода, подавана за нуждите на населението в областта. Броят на пунктовете, честотата и вида на мониторинга са съобразени с изискванията на Наредба №9/2001 година на МЗ за качеството на водата, предназначена за питейно – битови цели. От 01.01.2019 година на територията на областта има само един оператор на ВиК системи 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„ВиК Плевен“ ЕООД, гр. Плевен. Водоснабдителното дружество разработи програма за мониторинг на питейната вода в Плевенска област за 2022 година и същата беше съгласувана с инспекцията в изпълнение изискванията на чл. 9, ал. 1 на Наредба № 9/2001 година на МЗ.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представената мониторингова програма са определени общо 105 зони на водоснабдяване. От тях 6 зони са с обем на разпределена вода над 1000 куб.м. в денонощие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брой население в зоната на водоснабдяване на базата на консумация 200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/жител дневно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99 зони са с обем на разпределена вода под 1000 куб.м. Съгласно изискванията на МЗ, са категоризирани малки зони, като в категория 1 попадат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39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зони, в категория 2 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40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зони, в категория 3 – 1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и в категория 4 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зони.</w:t>
      </w:r>
    </w:p>
    <w:p w:rsidR="00023291" w:rsidRDefault="00023291" w:rsidP="001E7C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През 2022 година пробонабирането от водопроводната мрежа на област Плевен се извърши от 274 пункта съгласно предварително изготвен график, като част от тях по предложение на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„ВиК Плевен“ ЕООД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бяха променени и актуализирани.</w:t>
      </w:r>
    </w:p>
    <w:p w:rsidR="0075549E" w:rsidRPr="007F5862" w:rsidRDefault="0075549E" w:rsidP="007554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отчетния период от страна на „ВиК Плевен“ ЕООД поради повишена консумация на вода през летните месеци и употребата и не по предназначение, без да е издавана заповед от местните власти беше въведено режимно водоснабдяване в следните общини и населени места: Община </w:t>
      </w:r>
      <w:r w:rsidR="007F5862"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>Плевен</w:t>
      </w: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F5862"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Славяново, </w:t>
      </w: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7F5862"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Беглеж; </w:t>
      </w: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Община Никопол – с. </w:t>
      </w:r>
      <w:r w:rsidR="007F5862"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>Новачене;</w:t>
      </w: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Община </w:t>
      </w:r>
      <w:r w:rsidR="007F5862"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>Левски</w:t>
      </w: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</w:t>
      </w:r>
      <w:r w:rsidR="007F5862"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>Стежерово; Община Белене – с. Петокладенци; Община Долна Митрополия – с. Горна Митрополия, с. Брегаре и с. Ставерци</w:t>
      </w:r>
      <w:r w:rsidRPr="007F5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549E" w:rsidRPr="0075549E" w:rsidRDefault="0075549E" w:rsidP="007554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4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За въведения режим МЗ беше информирано своевременно чрез изготвяните месечни справки за качествата на питейната вода, подавана за населението на област Плевен.</w:t>
      </w:r>
    </w:p>
    <w:p w:rsidR="00023291" w:rsidRPr="00023291" w:rsidRDefault="0075549E" w:rsidP="001E7C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отчетната година е изпълнен мониторингът на питейната вода в областта, съгласно представената мониторингова програма на водоснабдителното дружество и осъществения от страна на инспекцията контролен мониторинг в размер на 100%, с изключение мониторинга по </w:t>
      </w:r>
      <w:proofErr w:type="spellStart"/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радиологични</w:t>
      </w:r>
      <w:proofErr w:type="spellEnd"/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показатели, тъй като анализите се извършват в РЗИ – Враца по предварително изготвен график и в определен обем. От 2021 г. РЗИ – Плевен не извършва контролен мониторинг по показател „</w:t>
      </w:r>
      <w:proofErr w:type="spellStart"/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бромати</w:t>
      </w:r>
      <w:proofErr w:type="spellEnd"/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в Столична РЗИ, тъй като от месец юли 2021г. Дирекция „ЛИ“ разполага с нов апарат – йон хроматографска система </w:t>
      </w:r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CIC-D300</w:t>
      </w:r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изпълнение на проект </w:t>
      </w:r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BG16M1OP002-1.011-0001</w:t>
      </w:r>
      <w:r w:rsidR="00023291"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„Подобряване мониторинга на качеството на питейните води“. Проектът е съфинансиран от Европейския фонд за регионално развитие и Кохезионния фонд на Европейския съюз чрез Оперативна програма „Околна среда“ 2014-2020г. Проведено е обучение на главните експерти за работа с апарата и се въвеждат нови методи за изпитване. Методите са верифицирани и се прилагат извън обхвата на акредитираните лабораторни дейности на ЛИК.</w:t>
      </w:r>
    </w:p>
    <w:p w:rsidR="00023291" w:rsidRPr="00023291" w:rsidRDefault="00023291" w:rsidP="001E7C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отчетния период при план за изследване на 528 проби питейни води, изпълнението е 533 проби. По показателите на група А са проведени изпитвания на 419 проби, от които 351 отговарят на нормативните изисквания. Обхванати са с минимума показатели по Таблица А към Приложение №2, като за някои зони са включени и показатели, актуални за конкретния регион на областта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нитрати, хром, манган, флуориди. По показателите на група Б са изследвани 114 проби, от които 83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съответстват на нормативните изисквания. Тук са обхванати с всички показатели по Приложение №1 на Наредба №9/2001 година за качеството на водата, предназначена за питейно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битови цели.</w:t>
      </w:r>
    </w:p>
    <w:p w:rsidR="00023291" w:rsidRPr="00023291" w:rsidRDefault="00023291" w:rsidP="001E7C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показателите, мониторирани в питейните води от страна на инспекцията са извършени общо 13870 изследвания, от които 13736 отговарят на изискванията на Наредба №9/2001 година на МЗ. Съответствието е 99,03%, при 98,64%, за 2021 и 98,34% за 2020 година. Броят на изследванията по микробиологични показатели през годината е 1876.</w:t>
      </w: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тях 1852 отговарят на Наредба №9/2001 година на МЗ. Съответствието е 98,72%, при 99,01% за 2021 година и 98,59% за 2020 година.</w:t>
      </w: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анализите, несъответстващи на изискванията 2</w:t>
      </w:r>
      <w:r w:rsidR="00AB32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 по показател колиформи, 2 – по Е.коли, 0 – по Ентерококи и 0 – по МЧ. Несъответствието на питейната вода, определено само по здравнозначими микробиологични показатели е 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46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(съответствие 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</w:rPr>
        <w:t>98,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54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50AF6" w:rsidRPr="00850A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850A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0,3%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(съответствие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99,70%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година и при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0,5%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(съответствие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99,50%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година.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Във всички случаи,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които е установено отклонение по микробиологични показатели, са взети съответните мерки от страна на служителите на отдела. Запазва се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тенденцията за задържане на високия процент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95% по СЗО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съответствие на питейната вода по микробиологични показатели. Това се дължи на подобряване методите на обеззаразяване с въвеждане на автоматично дозиране на дезинфектант в почти всички водоснабдителни системи, нови дезинфектанти с удължено освобождаване на хлор и засиления вътрешно – ведомствен контрол от страна на ръководството на водоснабдителното дружество. За по-добри резултати е необходимо повишаване на отговорността и квалификацията на персонала, пряко ангажиран с тази дейност.</w:t>
      </w:r>
    </w:p>
    <w:p w:rsidR="00023291" w:rsidRPr="00023291" w:rsidRDefault="00023291" w:rsidP="001E7C2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органолептични и химични показатели са извършени 11994 изследвания. От тях 11884 изследвания отговарят на изискванията на Наредба 9/2001 година на МЗ. Съответствието е 99,08%, при 98,58% за 2021 година и 98,30% за 2020 година.</w:t>
      </w:r>
    </w:p>
    <w:p w:rsidR="00023291" w:rsidRPr="00023291" w:rsidRDefault="00023291" w:rsidP="001E7C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проведените анализи през отчетния период се установиха следните отклонения по конкретни показатели в качеството на питейните води на територията на областта:</w:t>
      </w:r>
    </w:p>
    <w:p w:rsidR="00023291" w:rsidRPr="00023291" w:rsidRDefault="00023291" w:rsidP="001E7C20">
      <w:pPr>
        <w:numPr>
          <w:ilvl w:val="0"/>
          <w:numId w:val="1"/>
        </w:numPr>
        <w:tabs>
          <w:tab w:val="clear" w:pos="360"/>
          <w:tab w:val="num" w:pos="993"/>
          <w:tab w:val="left" w:pos="1276"/>
        </w:tabs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Несъответствия по </w:t>
      </w:r>
      <w:r w:rsidRPr="0002329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микробиологични показатели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са установени в 16 зони на водоснабдяване, включващи селата: с. Телиш, с. Новачене, с. Одърне, с. Пелишат, с. Горник, с. Жернов, с. Ленково, с. Садовец, с. Дебово, с. Радишево, с. Девенци, с. Бреница, с. Каменец и с. Кулина вода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023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Броят на зоните, в които са установени отклоненията по микробилогични показатели са с девет повече от установените през 2021 – 7 зони и с две повече от 2020 година - 14 зони. Отклоненията продължават да се установяват предимно в малки населени места с водоснабдителни системи без пречиствателни съоръжения, остарели и амортизирани водопроводни мрежи. Друга причина за несъответствията са констатираните от страна на инспекцията пропуски от субективен характер в обеззаразяването на водата, преди подаването и на консуматорите.</w:t>
      </w:r>
    </w:p>
    <w:p w:rsidR="00023291" w:rsidRPr="00023291" w:rsidRDefault="00023291" w:rsidP="001E7C20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spacing w:after="0" w:line="240" w:lineRule="auto"/>
        <w:ind w:left="0" w:firstLine="99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Несъответствия по показатели </w:t>
      </w:r>
      <w:r w:rsidRPr="0002329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„мътност” и/или „цвят”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 установени в 8 зони на водоснабдяване, обхващащи населените места: гр. Левски, гр. Плевен, с. Ракита, гр. Искър, с. Гривица, с. Одърне, с. Каменец</w:t>
      </w:r>
    </w:p>
    <w:p w:rsidR="00023291" w:rsidRPr="00023291" w:rsidRDefault="00023291" w:rsidP="001E7C2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Констатираните отклонения по горецитираните показатели са с 6 зони по-малко за 2021година – 14 зони и с 8 зони по-малко от несъответстващите за 2020 година - 16 зони. Несъответствията са с непостоянен характер и се отнасят за водоснабдителни системи, подаващи вода от повърхностно разположени водоизточници, за които няма изградени пречиствателни съоръжения, за населени места със стара и амортизирана водопроводна мрежа, както и след извършване на ремонтни дейности.</w:t>
      </w:r>
    </w:p>
    <w:p w:rsidR="00023291" w:rsidRPr="00023291" w:rsidRDefault="00023291" w:rsidP="001E7C20">
      <w:pPr>
        <w:pStyle w:val="a3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023291">
        <w:rPr>
          <w:color w:val="000000" w:themeColor="text1"/>
          <w:sz w:val="28"/>
          <w:szCs w:val="28"/>
          <w:lang w:val="ru-RU"/>
        </w:rPr>
        <w:t xml:space="preserve">Несъответствия по показател </w:t>
      </w:r>
      <w:r w:rsidRPr="00023291">
        <w:rPr>
          <w:b/>
          <w:color w:val="000000" w:themeColor="text1"/>
          <w:sz w:val="28"/>
          <w:szCs w:val="28"/>
          <w:lang w:val="ru-RU"/>
        </w:rPr>
        <w:t>„магнезий”</w:t>
      </w:r>
      <w:r w:rsidRPr="00023291">
        <w:rPr>
          <w:color w:val="000000" w:themeColor="text1"/>
          <w:sz w:val="28"/>
          <w:szCs w:val="28"/>
          <w:lang w:val="ru-RU"/>
        </w:rPr>
        <w:t xml:space="preserve"> и </w:t>
      </w:r>
      <w:r w:rsidRPr="00023291">
        <w:rPr>
          <w:b/>
          <w:color w:val="000000" w:themeColor="text1"/>
          <w:sz w:val="28"/>
          <w:szCs w:val="28"/>
          <w:lang w:val="ru-RU"/>
        </w:rPr>
        <w:t>„обща твърдост”</w:t>
      </w:r>
      <w:r w:rsidRPr="00023291">
        <w:rPr>
          <w:color w:val="000000" w:themeColor="text1"/>
          <w:sz w:val="28"/>
          <w:szCs w:val="28"/>
        </w:rPr>
        <w:t>.</w:t>
      </w:r>
      <w:r w:rsidRPr="00023291">
        <w:rPr>
          <w:color w:val="000000" w:themeColor="text1"/>
          <w:sz w:val="28"/>
          <w:szCs w:val="28"/>
          <w:lang w:val="ru-RU"/>
        </w:rPr>
        <w:t xml:space="preserve">В 5 зони на водоснабдяване са констатираните отклонения: с. Одърне, с. Борислав, с. Драгаш войвода. </w:t>
      </w:r>
      <w:proofErr w:type="spellStart"/>
      <w:r w:rsidRPr="00023291">
        <w:rPr>
          <w:color w:val="000000" w:themeColor="text1"/>
          <w:sz w:val="28"/>
          <w:szCs w:val="28"/>
        </w:rPr>
        <w:t>Броят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зоните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, в </w:t>
      </w:r>
      <w:proofErr w:type="spellStart"/>
      <w:r w:rsidRPr="00023291">
        <w:rPr>
          <w:color w:val="000000" w:themeColor="text1"/>
          <w:sz w:val="28"/>
          <w:szCs w:val="28"/>
        </w:rPr>
        <w:t>които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установени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отклоненията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с </w:t>
      </w:r>
      <w:r w:rsidRPr="00023291">
        <w:rPr>
          <w:color w:val="000000" w:themeColor="text1"/>
          <w:sz w:val="28"/>
          <w:szCs w:val="28"/>
          <w:lang w:val="bg-BG"/>
        </w:rPr>
        <w:t>четири по-малко за 2021 година – 9 зони и 15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броя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>по-малко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установените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през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>2020 година - 20 зони</w:t>
      </w:r>
      <w:r w:rsidRPr="00023291">
        <w:rPr>
          <w:color w:val="000000" w:themeColor="text1"/>
          <w:sz w:val="28"/>
          <w:szCs w:val="28"/>
        </w:rPr>
        <w:t>.</w:t>
      </w:r>
      <w:r w:rsidRPr="00023291">
        <w:rPr>
          <w:color w:val="000000" w:themeColor="text1"/>
          <w:sz w:val="28"/>
          <w:szCs w:val="28"/>
          <w:lang w:val="ru-RU"/>
        </w:rPr>
        <w:t xml:space="preserve"> Тези показатели участват </w:t>
      </w:r>
      <w:r w:rsidRPr="00023291">
        <w:rPr>
          <w:color w:val="000000" w:themeColor="text1"/>
          <w:sz w:val="28"/>
          <w:szCs w:val="28"/>
          <w:lang w:val="ru-RU"/>
        </w:rPr>
        <w:lastRenderedPageBreak/>
        <w:t>в определянето на твърдостта на водата, като в част от населените места отклоненията по показателя са с персистиращ характер.</w:t>
      </w:r>
    </w:p>
    <w:p w:rsidR="00023291" w:rsidRPr="00023291" w:rsidRDefault="00023291" w:rsidP="001E7C20">
      <w:pPr>
        <w:pStyle w:val="a3"/>
        <w:numPr>
          <w:ilvl w:val="0"/>
          <w:numId w:val="2"/>
        </w:numPr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023291">
        <w:rPr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023291">
        <w:rPr>
          <w:b/>
          <w:color w:val="000000" w:themeColor="text1"/>
          <w:sz w:val="28"/>
          <w:szCs w:val="28"/>
          <w:lang w:val="ru-RU"/>
        </w:rPr>
        <w:t xml:space="preserve">„флуориди” </w:t>
      </w:r>
      <w:r w:rsidRPr="00023291">
        <w:rPr>
          <w:color w:val="000000" w:themeColor="text1"/>
          <w:sz w:val="28"/>
          <w:szCs w:val="28"/>
          <w:lang w:val="ru-RU"/>
        </w:rPr>
        <w:t>е констатирано в една зона /с. Лазарово/, което е с постоянен характер за населеното място, като през 2020 година е 1,93 мг/л., през 2021 година е със стойности от 1,98 мг/л до 2,39 мг/л, а през отчетния период са установени стойности от 2,50 мг/л.</w:t>
      </w:r>
    </w:p>
    <w:p w:rsidR="00023291" w:rsidRPr="00023291" w:rsidRDefault="00023291" w:rsidP="001E7C20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Отклонения по показател </w:t>
      </w:r>
      <w:r w:rsidRPr="0002329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„нитрати”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установено в следните населени места: с. Дисевица, с. Изгрев, с. Мечка, с. Победа, с. Обнова, с. Згалево, с. Пелишат, гр. Койнаре, с. Петърница, с. Търнене, с. Градина,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Тръстеник,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Искър, с. Гиген, с. Драгаш войвода, с. Борислав, с. Горник, с. Божурица и с. Радишево. По отношение отклоненията по този показател тенденцията е сравнително постоянна - 20 зони на водоснабдяване за 2021година и същият брой зони на водоснабдяване за 2022 година.</w:t>
      </w:r>
    </w:p>
    <w:p w:rsidR="00023291" w:rsidRPr="00023291" w:rsidRDefault="00023291" w:rsidP="001E7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Замърсяването с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нитрати се среща във водите на плитки подземни водоизточници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(извори, кладенци, сондажи), разположени в местности с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обработваеми земеделски земи или черпещи вода от незащитени водоносни хоризонти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. Тъй като област Плевен е район с развита селскостопанска дейност и интензивно земеделие, основната причина за повишаване на този показател е свързана с неправилното използване на азотни минерални торове и неправилна земеделска и животновъдна практика. За първи път отклонения в качеството на питейните води на територията на област Плевен по показател „нитрати“ е установено от инспекцията през 2006 година.</w:t>
      </w:r>
    </w:p>
    <w:p w:rsidR="00023291" w:rsidRPr="00023291" w:rsidRDefault="00023291" w:rsidP="001E7C20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0232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 2017 година се проведоха срещи и разговори с отговорните институции и местната власт за създаването на комисии с представители от ВиК, Басейнова дирекция, МОСВ, МЗ и др. и запознаване на местните земеделци с проблема с цел ограничаване на използването на синтетични торове при селскостопанска дейност и въвеждането на добри земеделски практики в санитарно – охранителните пояси на водоизточниците на селищата с нестандартност на питейната вода по показател нитрати. За решаване на проблема са нужни законодателни промени за стриктно спазване на забраните и ограниченията на торене във всички пояси на санитарно – охранителните зони на водоизточниците за питейно водоснабдяване, стимулиране собствениците на имоти в СОЗ за екологично земеделие, както и санкции, налагани от компетентните институции на нарушителите.</w:t>
      </w:r>
    </w:p>
    <w:p w:rsidR="00023291" w:rsidRPr="00023291" w:rsidRDefault="00023291" w:rsidP="001E7C20">
      <w:pPr>
        <w:pStyle w:val="a3"/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023291">
        <w:rPr>
          <w:color w:val="000000" w:themeColor="text1"/>
          <w:sz w:val="28"/>
          <w:szCs w:val="28"/>
          <w:lang w:val="ru-RU"/>
        </w:rPr>
        <w:t xml:space="preserve">7. Отклонения по показател </w:t>
      </w:r>
      <w:r w:rsidRPr="00023291">
        <w:rPr>
          <w:b/>
          <w:color w:val="000000" w:themeColor="text1"/>
          <w:sz w:val="28"/>
          <w:szCs w:val="28"/>
          <w:lang w:val="ru-RU"/>
        </w:rPr>
        <w:t>„хром”</w:t>
      </w:r>
      <w:r w:rsidRPr="00023291">
        <w:rPr>
          <w:color w:val="000000" w:themeColor="text1"/>
          <w:sz w:val="28"/>
          <w:szCs w:val="28"/>
          <w:lang w:val="ru-RU"/>
        </w:rPr>
        <w:t xml:space="preserve"> през 2022 година</w:t>
      </w:r>
      <w:r w:rsidRPr="00023291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023291">
        <w:rPr>
          <w:color w:val="000000" w:themeColor="text1"/>
          <w:sz w:val="28"/>
          <w:szCs w:val="28"/>
          <w:lang w:val="ru-RU"/>
        </w:rPr>
        <w:t>са показали 15 зони на водоснабдяване. В тях са включени населените места: с. Новачене</w:t>
      </w:r>
      <w:r w:rsidRPr="00023291">
        <w:rPr>
          <w:color w:val="000000" w:themeColor="text1"/>
          <w:sz w:val="28"/>
          <w:szCs w:val="28"/>
        </w:rPr>
        <w:t xml:space="preserve">, </w:t>
      </w:r>
      <w:r w:rsidRPr="00023291">
        <w:rPr>
          <w:color w:val="000000" w:themeColor="text1"/>
          <w:sz w:val="28"/>
          <w:szCs w:val="28"/>
          <w:lang w:val="ru-RU"/>
        </w:rPr>
        <w:t>с. Асеново, с. Дебово, с. Татари, с. Божурлук, с. Славовица, с. Дъбован, с. Стежерово, с. Татари, Муселиево, с. Евлогиево, с. Брест, с. Загражден, с. Долни Вит, с. Петокладенци.</w:t>
      </w:r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ru-RU"/>
        </w:rPr>
        <w:t xml:space="preserve">Касае се за зони с трайни отклонения по показателя, на които ежегодно се извършва учестен мониторинг. </w:t>
      </w:r>
    </w:p>
    <w:p w:rsidR="00023291" w:rsidRPr="00023291" w:rsidRDefault="00023291" w:rsidP="001E7C20">
      <w:pPr>
        <w:tabs>
          <w:tab w:val="left" w:pos="851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дви зони през отчетния период са установени отклонения и по двата показателя – „хром” и „нитрати” - с. Божурица и с. Гиген.</w:t>
      </w:r>
      <w:r w:rsidRPr="0002329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Наличието на хром в питейните води на област Плевен е с естествен произход. Изследванията на подпочвените води, доказват наднормено съдържание на хром в плитки и дълбоки подпочвени води на някои общини на областта. Това прави изключването на водоизточници и разреждането им с води от други водоизточници нецелесъобразно.</w:t>
      </w:r>
    </w:p>
    <w:p w:rsidR="00023291" w:rsidRPr="00023291" w:rsidRDefault="00023291" w:rsidP="001E7C2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проекта на Бизнес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за 2017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на „ВиК Плевен“ ЕООД се планира инвестирането на средства в Зона № 11, </w:t>
      </w:r>
      <w:proofErr w:type="spellStart"/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с.Татари</w:t>
      </w:r>
      <w:proofErr w:type="spellEnd"/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Зона №10, </w:t>
      </w:r>
      <w:proofErr w:type="spellStart"/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с.Петокладенци</w:t>
      </w:r>
      <w:proofErr w:type="spellEnd"/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с.Стежерово</w:t>
      </w:r>
      <w:proofErr w:type="spellEnd"/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където питейната вода е нестандартна по показател „хром“. Вариантът с изграждане на дълбоки сондажи, е свързан с тежки, скъпи и мудни процедури за отчуждаване на терени за СОЗ и отреждане на сервитути на трасета на инфраструктурата, както и по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големи финансови средства и липса на гаранция за качествата на водата, добита от тях. От страна на ВиК ведомството е избран вариантът за монтиране на модулни пречиствателни съоръжения в посочените две зони. Нужните финансови средства са 200 хил. лв. за зона, като всеки проект ще се изпълни в рамките на две години. Предвид пилотния характер на двата проекта, след реализирането им и установяване реално на ефективността на вложените инвестиции, ще се планират средства за модулни ПСПВ през следващите регулаторни периоди за останалите зони на водоснабдяване с установени отклонения по показател хром.</w:t>
      </w:r>
    </w:p>
    <w:p w:rsidR="00023291" w:rsidRPr="00023291" w:rsidRDefault="00023291" w:rsidP="001E7C20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област Плевен проблемът с естественото наднормено съдържание на хром и нитрати в питейните води на редица селища датира отдавна. Още през 2008 година са определени 26 зони на водоснабдяване с трайни отклонения по тези показатели. Обемът на разпределената вода в тях е под 1000 куб.м. в денонощие и са с постоянно живеещо население, свързано към водоснабдителната система под 5000 души. С предписание на РЗИ – Плевен /РИОКОЗ – Плевен/ изх. №ЗК-05-0102/21.02.2008 година., от страна на „ВиК Плевен” ЕООД е стартира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процедура и са депозирани заявления в МЗ за издаване на разрешения за ползване на питейна вода с отклонения от изискванията за качество. От началото на 2008 година между „ВиК Плевен” ЕООД и МЗ се води кореспонденция по казуса, но до 2010 година Министерство на здравеопазването не е издало разрешение за ползване на вода за питейно-битови цели с отклонение от изискванията нито за една от зоните на водоснабдяване, за които водоснабдителното дружество е депозирало заявления в МЗ, поради обстоятелството, че представената документация не отговаря изцяло на изискванията на чл. 11 от Наредба №9 на МЗ – мерките, които са предложени за отстраняване на отклоненията не дават гаранция, че проблемът ще бъде разрешен в рамките на тригодишен период, както и не е представен точен и ясен календарен график за предвидените дейности, които ще бъдат извършени, с финансови разчети за реализацията им.</w:t>
      </w:r>
    </w:p>
    <w:p w:rsidR="00023291" w:rsidRPr="00023291" w:rsidRDefault="00023291" w:rsidP="001E7C20">
      <w:pPr>
        <w:overflowPunct w:val="0"/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 всички зони с констатирани отклонения по химични показатели в гореизброените населени места и през 2023 година ще продължи да се извършва учестен мониторинг на питейната вода с цел установяване точните концентрации на нестандартните показатели в годишен аспект и уточняване степента и персистиране на отклоненията. </w:t>
      </w:r>
    </w:p>
    <w:p w:rsidR="00023291" w:rsidRPr="00023291" w:rsidRDefault="00023291" w:rsidP="001E7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установените трайни отклонения по химични показатели в област Плевен са информирани АВиК, местните власти на засегнатите общини и населението, живеещо в тях чрез бюлетина на инспекцията, който се актуализира ежеседмично с резултати от извършения мониторинг на качествата на питейната вода в областта, както кореспонденции на водоснабдителното дружество с общински администрации, имащи отношение към проблема.</w:t>
      </w:r>
    </w:p>
    <w:p w:rsidR="00023291" w:rsidRPr="00023291" w:rsidRDefault="00023291" w:rsidP="001E7C20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 w:rsidRPr="00023291">
        <w:rPr>
          <w:color w:val="000000" w:themeColor="text1"/>
          <w:sz w:val="28"/>
          <w:szCs w:val="28"/>
        </w:rPr>
        <w:t xml:space="preserve">8. </w:t>
      </w:r>
      <w:proofErr w:type="spellStart"/>
      <w:r w:rsidRPr="00023291">
        <w:rPr>
          <w:color w:val="000000" w:themeColor="text1"/>
          <w:sz w:val="28"/>
          <w:szCs w:val="28"/>
        </w:rPr>
        <w:t>Отклонения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b/>
          <w:color w:val="000000" w:themeColor="text1"/>
          <w:sz w:val="28"/>
          <w:szCs w:val="28"/>
        </w:rPr>
        <w:t>„</w:t>
      </w:r>
      <w:proofErr w:type="spellStart"/>
      <w:r w:rsidRPr="00023291">
        <w:rPr>
          <w:b/>
          <w:color w:val="000000" w:themeColor="text1"/>
          <w:sz w:val="28"/>
          <w:szCs w:val="28"/>
        </w:rPr>
        <w:t>радиологични</w:t>
      </w:r>
      <w:proofErr w:type="spellEnd"/>
      <w:r w:rsidRPr="00023291">
        <w:rPr>
          <w:b/>
          <w:color w:val="000000" w:themeColor="text1"/>
          <w:sz w:val="28"/>
          <w:szCs w:val="28"/>
        </w:rPr>
        <w:t>”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показатели</w:t>
      </w:r>
      <w:proofErr w:type="spellEnd"/>
      <w:r w:rsidRPr="00023291">
        <w:rPr>
          <w:color w:val="000000" w:themeColor="text1"/>
          <w:sz w:val="28"/>
          <w:szCs w:val="28"/>
        </w:rPr>
        <w:t xml:space="preserve"> – В </w:t>
      </w:r>
      <w:proofErr w:type="spellStart"/>
      <w:r w:rsidRPr="00023291">
        <w:rPr>
          <w:color w:val="000000" w:themeColor="text1"/>
          <w:sz w:val="28"/>
          <w:szCs w:val="28"/>
        </w:rPr>
        <w:t>изпълнение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мониторинга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радиологични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показатели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202</w:t>
      </w:r>
      <w:r w:rsidRPr="00023291">
        <w:rPr>
          <w:color w:val="000000" w:themeColor="text1"/>
          <w:sz w:val="28"/>
          <w:szCs w:val="28"/>
          <w:lang w:val="bg-BG"/>
        </w:rPr>
        <w:t>2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година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страна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водоснабдителното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дружество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предоставени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резултати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извършени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анализи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при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прегледа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които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установи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че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пробите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>8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населени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места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показали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превишение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нормативно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определената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стойност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показател</w:t>
      </w:r>
      <w:proofErr w:type="spellEnd"/>
      <w:r w:rsidRPr="00023291">
        <w:rPr>
          <w:color w:val="000000" w:themeColor="text1"/>
          <w:sz w:val="28"/>
          <w:szCs w:val="28"/>
        </w:rPr>
        <w:t xml:space="preserve"> „</w:t>
      </w:r>
      <w:proofErr w:type="spellStart"/>
      <w:r w:rsidRPr="00023291">
        <w:rPr>
          <w:color w:val="000000" w:themeColor="text1"/>
          <w:sz w:val="28"/>
          <w:szCs w:val="28"/>
        </w:rPr>
        <w:t>Обща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алфа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активност</w:t>
      </w:r>
      <w:proofErr w:type="spellEnd"/>
      <w:r w:rsidRPr="00023291">
        <w:rPr>
          <w:color w:val="000000" w:themeColor="text1"/>
          <w:sz w:val="28"/>
          <w:szCs w:val="28"/>
        </w:rPr>
        <w:t xml:space="preserve">“. </w:t>
      </w:r>
      <w:proofErr w:type="spellStart"/>
      <w:r w:rsidRPr="00023291">
        <w:rPr>
          <w:color w:val="000000" w:themeColor="text1"/>
          <w:sz w:val="28"/>
          <w:szCs w:val="28"/>
        </w:rPr>
        <w:t>При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направена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документална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проверка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установи</w:t>
      </w:r>
      <w:proofErr w:type="spellEnd"/>
      <w:r w:rsidRPr="00023291">
        <w:rPr>
          <w:color w:val="000000" w:themeColor="text1"/>
          <w:sz w:val="28"/>
          <w:szCs w:val="28"/>
        </w:rPr>
        <w:t xml:space="preserve">, в </w:t>
      </w:r>
      <w:proofErr w:type="spellStart"/>
      <w:r w:rsidRPr="00023291">
        <w:rPr>
          <w:color w:val="000000" w:themeColor="text1"/>
          <w:sz w:val="28"/>
          <w:szCs w:val="28"/>
        </w:rPr>
        <w:t>предходните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години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с </w:t>
      </w:r>
      <w:proofErr w:type="spellStart"/>
      <w:r w:rsidRPr="00023291">
        <w:rPr>
          <w:color w:val="000000" w:themeColor="text1"/>
          <w:sz w:val="28"/>
          <w:szCs w:val="28"/>
        </w:rPr>
        <w:t>предписани</w:t>
      </w:r>
      <w:proofErr w:type="spellEnd"/>
      <w:r w:rsidRPr="00023291">
        <w:rPr>
          <w:color w:val="000000" w:themeColor="text1"/>
          <w:sz w:val="28"/>
          <w:szCs w:val="28"/>
          <w:lang w:val="bg-BG"/>
        </w:rPr>
        <w:t>я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страна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инспекцията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е </w:t>
      </w:r>
      <w:proofErr w:type="spellStart"/>
      <w:r w:rsidRPr="00023291">
        <w:rPr>
          <w:color w:val="000000" w:themeColor="text1"/>
          <w:sz w:val="28"/>
          <w:szCs w:val="28"/>
        </w:rPr>
        <w:t>стартирано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проучване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 xml:space="preserve">в населените места </w:t>
      </w:r>
      <w:r w:rsidRPr="00023291">
        <w:rPr>
          <w:color w:val="000000" w:themeColor="text1"/>
          <w:sz w:val="28"/>
          <w:szCs w:val="28"/>
        </w:rPr>
        <w:t xml:space="preserve">и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извършени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допълнителни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анализи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конкретни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радионуклиди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изчисляване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индикативна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зона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доказващи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липсата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отклонени</w:t>
      </w:r>
      <w:proofErr w:type="spellEnd"/>
      <w:r w:rsidRPr="00023291">
        <w:rPr>
          <w:color w:val="000000" w:themeColor="text1"/>
          <w:sz w:val="28"/>
          <w:szCs w:val="28"/>
          <w:lang w:val="bg-BG"/>
        </w:rPr>
        <w:t xml:space="preserve">я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нормативните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изисквания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. </w:t>
      </w:r>
      <w:proofErr w:type="spellStart"/>
      <w:r w:rsidRPr="00023291">
        <w:rPr>
          <w:color w:val="000000" w:themeColor="text1"/>
          <w:sz w:val="28"/>
          <w:szCs w:val="28"/>
        </w:rPr>
        <w:t>Съгласно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указания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МЗ, </w:t>
      </w:r>
      <w:proofErr w:type="spellStart"/>
      <w:r w:rsidRPr="00023291">
        <w:rPr>
          <w:color w:val="000000" w:themeColor="text1"/>
          <w:sz w:val="28"/>
          <w:szCs w:val="28"/>
        </w:rPr>
        <w:t>дадени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с </w:t>
      </w:r>
      <w:proofErr w:type="spellStart"/>
      <w:r w:rsidRPr="00023291">
        <w:rPr>
          <w:color w:val="000000" w:themeColor="text1"/>
          <w:sz w:val="28"/>
          <w:szCs w:val="28"/>
        </w:rPr>
        <w:t>писмо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изх</w:t>
      </w:r>
      <w:proofErr w:type="spellEnd"/>
      <w:r w:rsidRPr="00023291">
        <w:rPr>
          <w:color w:val="000000" w:themeColor="text1"/>
          <w:sz w:val="28"/>
          <w:szCs w:val="28"/>
        </w:rPr>
        <w:t xml:space="preserve">. №33-14-42/26.11.2018 г. </w:t>
      </w:r>
      <w:proofErr w:type="spellStart"/>
      <w:r w:rsidRPr="00023291">
        <w:rPr>
          <w:color w:val="000000" w:themeColor="text1"/>
          <w:sz w:val="28"/>
          <w:szCs w:val="28"/>
        </w:rPr>
        <w:t>при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извършването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последващ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мониторинг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населени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места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с </w:t>
      </w:r>
      <w:proofErr w:type="spellStart"/>
      <w:r w:rsidRPr="00023291">
        <w:rPr>
          <w:color w:val="000000" w:themeColor="text1"/>
          <w:sz w:val="28"/>
          <w:szCs w:val="28"/>
        </w:rPr>
        <w:t>установени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нива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обща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алфа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бета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активност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над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контролната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стойност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ако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тези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нива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постоянни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във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времето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и в </w:t>
      </w:r>
      <w:proofErr w:type="spellStart"/>
      <w:r w:rsidRPr="00023291">
        <w:rPr>
          <w:color w:val="000000" w:themeColor="text1"/>
          <w:sz w:val="28"/>
          <w:szCs w:val="28"/>
        </w:rPr>
        <w:t>рамките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обичайните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зоната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при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същите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има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вече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определена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индикативна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доза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няма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нови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обстоятелства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които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доведат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промяната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и, </w:t>
      </w:r>
      <w:proofErr w:type="spellStart"/>
      <w:r w:rsidRPr="00023291">
        <w:rPr>
          <w:color w:val="000000" w:themeColor="text1"/>
          <w:sz w:val="28"/>
          <w:szCs w:val="28"/>
        </w:rPr>
        <w:t>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е </w:t>
      </w:r>
      <w:proofErr w:type="spellStart"/>
      <w:r w:rsidRPr="00023291">
        <w:rPr>
          <w:color w:val="000000" w:themeColor="text1"/>
          <w:sz w:val="28"/>
          <w:szCs w:val="28"/>
        </w:rPr>
        <w:t>необходимо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всеки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път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изследване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рамките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мониторинга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прави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ново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проучване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. </w:t>
      </w:r>
      <w:proofErr w:type="spellStart"/>
      <w:r w:rsidRPr="00023291">
        <w:rPr>
          <w:color w:val="000000" w:themeColor="text1"/>
          <w:sz w:val="28"/>
          <w:szCs w:val="28"/>
        </w:rPr>
        <w:t>По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тази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причина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след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направен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анализ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нивата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горецитираните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радиологични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показатели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предходни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години</w:t>
      </w:r>
      <w:proofErr w:type="spellEnd"/>
      <w:r w:rsidRPr="00023291">
        <w:rPr>
          <w:color w:val="000000" w:themeColor="text1"/>
          <w:sz w:val="28"/>
          <w:szCs w:val="28"/>
        </w:rPr>
        <w:t xml:space="preserve">, РЗИ – </w:t>
      </w:r>
      <w:proofErr w:type="spellStart"/>
      <w:r w:rsidRPr="00023291">
        <w:rPr>
          <w:color w:val="000000" w:themeColor="text1"/>
          <w:sz w:val="28"/>
          <w:szCs w:val="28"/>
        </w:rPr>
        <w:t>Плевен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счете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необходимо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извършването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ново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проучване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гореизброените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населени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места</w:t>
      </w:r>
      <w:proofErr w:type="spellEnd"/>
      <w:r w:rsidRPr="00023291">
        <w:rPr>
          <w:color w:val="000000" w:themeColor="text1"/>
          <w:sz w:val="28"/>
          <w:szCs w:val="28"/>
        </w:rPr>
        <w:t>.</w:t>
      </w:r>
    </w:p>
    <w:p w:rsidR="00023291" w:rsidRPr="00023291" w:rsidRDefault="00023291" w:rsidP="001E7C20">
      <w:pPr>
        <w:pStyle w:val="a3"/>
        <w:tabs>
          <w:tab w:val="num" w:pos="851"/>
        </w:tabs>
        <w:ind w:left="0"/>
        <w:jc w:val="both"/>
        <w:rPr>
          <w:color w:val="000000" w:themeColor="text1"/>
          <w:sz w:val="28"/>
          <w:szCs w:val="28"/>
          <w:lang w:val="bg-BG"/>
        </w:rPr>
      </w:pPr>
      <w:r w:rsidRPr="00023291">
        <w:rPr>
          <w:color w:val="FF0000"/>
          <w:sz w:val="28"/>
          <w:szCs w:val="28"/>
        </w:rPr>
        <w:tab/>
      </w:r>
      <w:proofErr w:type="spellStart"/>
      <w:r w:rsidRPr="00023291">
        <w:rPr>
          <w:color w:val="000000" w:themeColor="text1"/>
          <w:sz w:val="28"/>
          <w:szCs w:val="28"/>
        </w:rPr>
        <w:t>През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настоящия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отчетен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период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страна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инспекцията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се</w:t>
      </w:r>
      <w:proofErr w:type="spellEnd"/>
      <w:r w:rsidRPr="00023291">
        <w:rPr>
          <w:color w:val="000000" w:themeColor="text1"/>
          <w:sz w:val="28"/>
          <w:szCs w:val="28"/>
        </w:rPr>
        <w:t xml:space="preserve"> е </w:t>
      </w:r>
      <w:proofErr w:type="spellStart"/>
      <w:r w:rsidRPr="00023291">
        <w:rPr>
          <w:color w:val="000000" w:themeColor="text1"/>
          <w:sz w:val="28"/>
          <w:szCs w:val="28"/>
        </w:rPr>
        <w:t>наложило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спиране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водоподаването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или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ограничаване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употребата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питейна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нито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едно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населените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места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област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Плевен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свързано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с </w:t>
      </w:r>
      <w:proofErr w:type="spellStart"/>
      <w:r w:rsidRPr="00023291">
        <w:rPr>
          <w:color w:val="000000" w:themeColor="text1"/>
          <w:sz w:val="28"/>
          <w:szCs w:val="28"/>
        </w:rPr>
        <w:t>установени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отклонения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качеството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които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създават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потенциална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опасност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здравето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населението</w:t>
      </w:r>
      <w:proofErr w:type="spellEnd"/>
      <w:r w:rsidRPr="00023291">
        <w:rPr>
          <w:color w:val="000000" w:themeColor="text1"/>
          <w:sz w:val="28"/>
          <w:szCs w:val="28"/>
        </w:rPr>
        <w:t>.</w:t>
      </w:r>
      <w:r w:rsidRPr="00023291">
        <w:rPr>
          <w:color w:val="FF0000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периода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01.01. – 31.12.202</w:t>
      </w:r>
      <w:r w:rsidRPr="00023291">
        <w:rPr>
          <w:color w:val="000000" w:themeColor="text1"/>
          <w:sz w:val="28"/>
          <w:szCs w:val="28"/>
          <w:lang w:val="bg-BG"/>
        </w:rPr>
        <w:t>2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година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служителите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инспекцията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извършени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 xml:space="preserve">745 </w:t>
      </w:r>
      <w:proofErr w:type="spellStart"/>
      <w:r w:rsidRPr="00023291">
        <w:rPr>
          <w:color w:val="000000" w:themeColor="text1"/>
          <w:sz w:val="28"/>
          <w:szCs w:val="28"/>
        </w:rPr>
        <w:t>проверки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водоизточници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водоснабдителни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обекти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съоръжения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питейно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023291">
        <w:rPr>
          <w:color w:val="000000" w:themeColor="text1"/>
          <w:sz w:val="28"/>
          <w:szCs w:val="28"/>
        </w:rPr>
        <w:t>битово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водоснабдяване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територията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областта</w:t>
      </w:r>
      <w:proofErr w:type="spellEnd"/>
      <w:r w:rsidRPr="00023291">
        <w:rPr>
          <w:color w:val="000000" w:themeColor="text1"/>
          <w:sz w:val="28"/>
          <w:szCs w:val="28"/>
        </w:rPr>
        <w:t xml:space="preserve">. </w:t>
      </w:r>
      <w:proofErr w:type="spellStart"/>
      <w:r w:rsidRPr="00023291">
        <w:rPr>
          <w:color w:val="000000" w:themeColor="text1"/>
          <w:sz w:val="28"/>
          <w:szCs w:val="28"/>
        </w:rPr>
        <w:t>Издадени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>27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предписания</w:t>
      </w:r>
      <w:proofErr w:type="spellEnd"/>
      <w:r w:rsidRPr="00023291">
        <w:rPr>
          <w:color w:val="000000" w:themeColor="text1"/>
          <w:sz w:val="28"/>
          <w:szCs w:val="28"/>
          <w:lang w:val="bg-BG"/>
        </w:rPr>
        <w:t xml:space="preserve"> /при 9 броя за 2021 година/</w:t>
      </w:r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свързани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с </w:t>
      </w:r>
      <w:proofErr w:type="spellStart"/>
      <w:r w:rsidRPr="00023291">
        <w:rPr>
          <w:color w:val="000000" w:themeColor="text1"/>
          <w:sz w:val="28"/>
          <w:szCs w:val="28"/>
        </w:rPr>
        <w:t>провеждане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оздравителни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мероприятия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r w:rsidRPr="00023291">
        <w:rPr>
          <w:color w:val="000000" w:themeColor="text1"/>
          <w:sz w:val="28"/>
          <w:szCs w:val="28"/>
          <w:lang w:val="bg-BG"/>
        </w:rPr>
        <w:t>извършване на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промивка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дезинфекция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водопроводната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мрежа</w:t>
      </w:r>
      <w:proofErr w:type="spellEnd"/>
      <w:r w:rsidRPr="00023291">
        <w:rPr>
          <w:color w:val="000000" w:themeColor="text1"/>
          <w:sz w:val="28"/>
          <w:szCs w:val="28"/>
          <w:lang w:val="bg-BG"/>
        </w:rPr>
        <w:t>,</w:t>
      </w:r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предоставяне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данни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страна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lastRenderedPageBreak/>
        <w:t>водоснабдителните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дружества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извършвания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тях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мониторинг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питейна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вода</w:t>
      </w:r>
      <w:proofErr w:type="spellEnd"/>
      <w:r w:rsidRPr="00023291">
        <w:rPr>
          <w:color w:val="000000" w:themeColor="text1"/>
          <w:sz w:val="28"/>
          <w:szCs w:val="28"/>
        </w:rPr>
        <w:t xml:space="preserve">,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провеждане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проучвания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и </w:t>
      </w:r>
      <w:proofErr w:type="spellStart"/>
      <w:r w:rsidRPr="00023291">
        <w:rPr>
          <w:color w:val="000000" w:themeColor="text1"/>
          <w:sz w:val="28"/>
          <w:szCs w:val="28"/>
        </w:rPr>
        <w:t>предприемане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мерки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ВиК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оператор</w:t>
      </w:r>
      <w:proofErr w:type="spellEnd"/>
      <w:r w:rsidRPr="00023291">
        <w:rPr>
          <w:color w:val="000000" w:themeColor="text1"/>
          <w:sz w:val="28"/>
          <w:szCs w:val="28"/>
          <w:lang w:val="bg-BG"/>
        </w:rPr>
        <w:t>а</w:t>
      </w:r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резултат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установени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инспекцията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отклонения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качеството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подаваната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вода</w:t>
      </w:r>
      <w:proofErr w:type="spellEnd"/>
      <w:r w:rsidRPr="00023291">
        <w:rPr>
          <w:color w:val="000000" w:themeColor="text1"/>
          <w:sz w:val="28"/>
          <w:szCs w:val="28"/>
        </w:rPr>
        <w:t xml:space="preserve">.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констатирани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несъответствия</w:t>
      </w:r>
      <w:proofErr w:type="spellEnd"/>
      <w:r w:rsidRPr="00023291">
        <w:rPr>
          <w:color w:val="000000" w:themeColor="text1"/>
          <w:sz w:val="28"/>
          <w:szCs w:val="28"/>
        </w:rPr>
        <w:t xml:space="preserve"> в </w:t>
      </w:r>
      <w:proofErr w:type="spellStart"/>
      <w:r w:rsidRPr="00023291">
        <w:rPr>
          <w:color w:val="000000" w:themeColor="text1"/>
          <w:sz w:val="28"/>
          <w:szCs w:val="28"/>
        </w:rPr>
        <w:t>качествата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питейна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вода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микробиологични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показатели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съставени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r w:rsidRPr="00023291">
        <w:rPr>
          <w:color w:val="000000" w:themeColor="text1"/>
          <w:sz w:val="28"/>
          <w:szCs w:val="28"/>
          <w:lang w:val="bg-BG"/>
        </w:rPr>
        <w:t xml:space="preserve">17 </w:t>
      </w:r>
      <w:proofErr w:type="spellStart"/>
      <w:r w:rsidRPr="00023291">
        <w:rPr>
          <w:color w:val="000000" w:themeColor="text1"/>
          <w:sz w:val="28"/>
          <w:szCs w:val="28"/>
        </w:rPr>
        <w:t>акта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за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административно</w:t>
      </w:r>
      <w:proofErr w:type="spellEnd"/>
      <w:r w:rsidRPr="00023291">
        <w:rPr>
          <w:color w:val="000000" w:themeColor="text1"/>
          <w:sz w:val="28"/>
          <w:szCs w:val="28"/>
        </w:rPr>
        <w:t xml:space="preserve"> </w:t>
      </w:r>
      <w:proofErr w:type="spellStart"/>
      <w:r w:rsidRPr="00023291">
        <w:rPr>
          <w:color w:val="000000" w:themeColor="text1"/>
          <w:sz w:val="28"/>
          <w:szCs w:val="28"/>
        </w:rPr>
        <w:t>нарушение</w:t>
      </w:r>
      <w:proofErr w:type="spellEnd"/>
      <w:r w:rsidRPr="00023291">
        <w:rPr>
          <w:color w:val="000000" w:themeColor="text1"/>
          <w:sz w:val="28"/>
          <w:szCs w:val="28"/>
          <w:lang w:val="bg-BG"/>
        </w:rPr>
        <w:t>.</w:t>
      </w:r>
    </w:p>
    <w:p w:rsidR="00023291" w:rsidRPr="00023291" w:rsidRDefault="00023291" w:rsidP="001E7C20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9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искане на МЗ с писмо изх. №74-01-116/28.09.2022 година и в изпълнение на чл. 14, ал.5 от Наредба №9/2001 година са въведени и данните в информационната система за събиране и анализ на резултатите от провеждания мониторинг на качеството на питейните води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съответствие с изискванията за докладване на Европейската комисия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извършения от РЗИ и водоснабдителната организация мониторинг на питейната вода във всички зони на водоснабдяване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година.</w:t>
      </w:r>
    </w:p>
    <w:p w:rsidR="00023291" w:rsidRPr="00023291" w:rsidRDefault="00023291" w:rsidP="001E7C20">
      <w:pPr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2023 година от страна на РЗИ – Плевен ще продължи извършването на систематичен и насочен контрол на състоянието и поддържането на водоизточниците, водоснабдителните съоръжения и санитарно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охранителните им зони, както и ще осъществява контролно мониториране на качествата на питейната вода, подавана за населението на областта. Ще продължи засиления контрол за изпълнение в пълен обем на мониторинга на питейните води от страна на водоснабдителното дружество, съгласно изискванията на Наредба № 9 на МЗ и в съответствие със съгласуваната с РЗИ – Плевен мониторингова програма. При приоритизиране на зоните на водоснабдяване по отношение на мониторинга, първостепенен приоритет ще са тези с </w:t>
      </w:r>
      <w:r w:rsidRPr="00023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трайни отклонения</w:t>
      </w:r>
      <w:r w:rsidRPr="000232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3291">
        <w:rPr>
          <w:rFonts w:ascii="Times New Roman" w:hAnsi="Times New Roman" w:cs="Times New Roman"/>
          <w:color w:val="000000" w:themeColor="text1"/>
          <w:sz w:val="28"/>
          <w:szCs w:val="28"/>
        </w:rPr>
        <w:t>от изискванията на Приложение № 1, Таблица Б на Наредба №9/2001г. на МЗ. Във всички случаи ще бъде спазен ангажиментът на РЗИ – Плевен да информира потребителите при възникнали инциденти, водещи до здравен риск за населението и за които е необходимо предприемане на действия от страна на инспекцията, свързани с ограничаване или преустановяване на водоподаването.</w:t>
      </w:r>
    </w:p>
    <w:p w:rsidR="002036F2" w:rsidRPr="00023291" w:rsidRDefault="002036F2" w:rsidP="001E7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6F2" w:rsidRPr="0002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1BC7"/>
    <w:multiLevelType w:val="hybridMultilevel"/>
    <w:tmpl w:val="47E2FB8E"/>
    <w:lvl w:ilvl="0" w:tplc="3B66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D94228D"/>
    <w:multiLevelType w:val="hybridMultilevel"/>
    <w:tmpl w:val="D10EB5CC"/>
    <w:lvl w:ilvl="0" w:tplc="FCEA3638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D"/>
    <w:rsid w:val="00005D1A"/>
    <w:rsid w:val="000071C2"/>
    <w:rsid w:val="00023291"/>
    <w:rsid w:val="000F1648"/>
    <w:rsid w:val="001A5A26"/>
    <w:rsid w:val="001E7C20"/>
    <w:rsid w:val="002036F2"/>
    <w:rsid w:val="00213A43"/>
    <w:rsid w:val="002360CE"/>
    <w:rsid w:val="003C688D"/>
    <w:rsid w:val="00603DED"/>
    <w:rsid w:val="0075549E"/>
    <w:rsid w:val="007C6D4F"/>
    <w:rsid w:val="007F5862"/>
    <w:rsid w:val="00850AF6"/>
    <w:rsid w:val="00A82352"/>
    <w:rsid w:val="00AB32A0"/>
    <w:rsid w:val="00B044BD"/>
    <w:rsid w:val="00D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23DA5"/>
  <w15:chartTrackingRefBased/>
  <w15:docId w15:val="{2BED243B-BB8D-4D24-9013-32020C9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9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2023-02-28T07:31:00Z</dcterms:created>
  <dcterms:modified xsi:type="dcterms:W3CDTF">2023-03-06T12:56:00Z</dcterms:modified>
</cp:coreProperties>
</file>